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D3D" w:rsidRPr="002D2E4B" w:rsidRDefault="00146D3D" w:rsidP="00A71251">
      <w:pPr>
        <w:jc w:val="center"/>
        <w:rPr>
          <w:rFonts w:ascii="Times New Roman" w:hAnsi="Times New Roman" w:cs="Times New Roman"/>
          <w:sz w:val="48"/>
          <w:szCs w:val="48"/>
          <w:rtl/>
        </w:rPr>
      </w:pPr>
      <w:r w:rsidRPr="002D2E4B">
        <w:rPr>
          <w:rFonts w:ascii="Times New Roman" w:hAnsi="Times New Roman" w:cs="Times New Roman"/>
          <w:sz w:val="48"/>
          <w:szCs w:val="48"/>
          <w:rtl/>
        </w:rPr>
        <w:t>معرفة الحديث المعلل</w:t>
      </w:r>
    </w:p>
    <w:p w:rsidR="00146D3D" w:rsidRPr="002D2E4B" w:rsidRDefault="00146D3D" w:rsidP="00A71251">
      <w:pPr>
        <w:spacing w:line="500" w:lineRule="exact"/>
        <w:jc w:val="center"/>
        <w:rPr>
          <w:rFonts w:ascii="Times New Roman" w:hAnsi="Times New Roman" w:cs="Times New Roman"/>
          <w:sz w:val="18"/>
          <w:szCs w:val="18"/>
          <w:rtl/>
          <w:lang w:bidi="ar-EG"/>
        </w:rPr>
      </w:pPr>
      <w:r w:rsidRPr="002D2E4B">
        <w:rPr>
          <w:rFonts w:ascii="Times New Roman" w:hAnsi="Times New Roman" w:cs="Times New Roman"/>
          <w:sz w:val="18"/>
          <w:szCs w:val="18"/>
          <w:rtl/>
        </w:rPr>
        <w:t xml:space="preserve">مبحث فى </w:t>
      </w:r>
      <w:r w:rsidRPr="002D2E4B">
        <w:rPr>
          <w:rFonts w:ascii="Times New Roman" w:hAnsi="Times New Roman" w:cs="Times New Roman"/>
          <w:sz w:val="18"/>
          <w:szCs w:val="18"/>
          <w:rtl/>
          <w:lang w:bidi="ar-EG"/>
        </w:rPr>
        <w:t>دراسات فى علوم السنة</w:t>
      </w:r>
    </w:p>
    <w:p w:rsidR="00146D3D" w:rsidRPr="002D2E4B" w:rsidRDefault="00146D3D" w:rsidP="00A71251">
      <w:pPr>
        <w:pStyle w:val="Author"/>
        <w:bidi/>
        <w:rPr>
          <w:rtl/>
        </w:rPr>
      </w:pPr>
      <w:r w:rsidRPr="002D2E4B">
        <w:rPr>
          <w:rtl/>
        </w:rPr>
        <w:t>إعداد / ميسون عقباوى</w:t>
      </w:r>
    </w:p>
    <w:p w:rsidR="00146D3D" w:rsidRPr="002D2E4B" w:rsidRDefault="00146D3D" w:rsidP="00A71251">
      <w:pPr>
        <w:pStyle w:val="Affiliation"/>
        <w:bidi/>
      </w:pPr>
      <w:r w:rsidRPr="002D2E4B">
        <w:rPr>
          <w:rtl/>
        </w:rPr>
        <w:t>قسم الدعوة وأصول الدين</w:t>
      </w:r>
    </w:p>
    <w:p w:rsidR="00146D3D" w:rsidRPr="002D2E4B" w:rsidRDefault="00146D3D" w:rsidP="00A71251">
      <w:pPr>
        <w:pStyle w:val="Affiliation"/>
        <w:bidi/>
      </w:pPr>
      <w:r w:rsidRPr="002D2E4B">
        <w:rPr>
          <w:rtl/>
        </w:rPr>
        <w:t>كلية العلوم الإسلامية – جامعة المدينة العالمية</w:t>
      </w:r>
      <w:r w:rsidRPr="002D2E4B">
        <w:t xml:space="preserve"> </w:t>
      </w:r>
    </w:p>
    <w:p w:rsidR="00146D3D" w:rsidRPr="002D2E4B" w:rsidRDefault="00146D3D" w:rsidP="00A71251">
      <w:pPr>
        <w:pStyle w:val="Affiliation"/>
        <w:bidi/>
        <w:rPr>
          <w:rtl/>
        </w:rPr>
      </w:pPr>
      <w:r w:rsidRPr="002D2E4B">
        <w:rPr>
          <w:rtl/>
        </w:rPr>
        <w:t>شاه علم - ماليزيا</w:t>
      </w:r>
    </w:p>
    <w:p w:rsidR="00146D3D" w:rsidRPr="002D2E4B" w:rsidRDefault="00146D3D" w:rsidP="00A71251">
      <w:pPr>
        <w:spacing w:line="240" w:lineRule="auto"/>
        <w:jc w:val="center"/>
        <w:rPr>
          <w:rFonts w:ascii="Times New Roman" w:hAnsi="Times New Roman" w:cs="Times New Roman"/>
          <w:b/>
          <w:bCs/>
          <w:sz w:val="18"/>
          <w:szCs w:val="18"/>
          <w:rtl/>
          <w:lang w:bidi="ar-EG"/>
        </w:rPr>
      </w:pPr>
      <w:r w:rsidRPr="002D2E4B">
        <w:rPr>
          <w:rFonts w:ascii="Times New Roman" w:eastAsia="SimSun" w:hAnsi="Times New Roman" w:cs="Times New Roman"/>
          <w:sz w:val="20"/>
          <w:szCs w:val="20"/>
          <w:lang w:eastAsia="zh-CN"/>
        </w:rPr>
        <w:t>maysoun.akabawy31@gmail.com</w:t>
      </w:r>
    </w:p>
    <w:p w:rsidR="00146D3D" w:rsidRPr="002D2E4B" w:rsidRDefault="00146D3D" w:rsidP="00A71251">
      <w:pPr>
        <w:pStyle w:val="NormalWeb"/>
        <w:jc w:val="right"/>
        <w:rPr>
          <w:b/>
          <w:bCs/>
          <w:sz w:val="18"/>
          <w:szCs w:val="18"/>
          <w:rtl/>
        </w:rPr>
        <w:sectPr w:rsidR="00146D3D" w:rsidRPr="002D2E4B" w:rsidSect="00D60765">
          <w:pgSz w:w="11906" w:h="16838"/>
          <w:pgMar w:top="1440" w:right="1440" w:bottom="1440" w:left="1440" w:header="720" w:footer="720" w:gutter="0"/>
          <w:cols w:space="720"/>
          <w:bidi/>
          <w:rtlGutter/>
          <w:docGrid w:linePitch="360"/>
        </w:sectPr>
      </w:pPr>
      <w:r w:rsidRPr="002D2E4B">
        <w:br/>
      </w:r>
    </w:p>
    <w:p w:rsidR="00146D3D" w:rsidRPr="002D2E4B" w:rsidRDefault="00146D3D" w:rsidP="00A71251">
      <w:pPr>
        <w:pStyle w:val="NormalWeb"/>
        <w:jc w:val="right"/>
        <w:rPr>
          <w:b/>
          <w:bCs/>
          <w:sz w:val="18"/>
          <w:szCs w:val="18"/>
        </w:rPr>
      </w:pPr>
      <w:r w:rsidRPr="002D2E4B">
        <w:rPr>
          <w:b/>
          <w:bCs/>
          <w:sz w:val="18"/>
          <w:szCs w:val="18"/>
          <w:rtl/>
        </w:rPr>
        <w:t xml:space="preserve">الخلاصة – هذا البحث يبحث فى </w:t>
      </w:r>
      <w:r w:rsidRPr="002D2E4B">
        <w:rPr>
          <w:b/>
          <w:bCs/>
          <w:sz w:val="18"/>
          <w:szCs w:val="18"/>
          <w:rtl/>
          <w:lang w:bidi="ar-EG"/>
        </w:rPr>
        <w:t>معرفة الحديث المعلل</w:t>
      </w:r>
      <w:r w:rsidRPr="002D2E4B">
        <w:rPr>
          <w:b/>
          <w:bCs/>
          <w:sz w:val="18"/>
          <w:szCs w:val="18"/>
        </w:rPr>
        <w:br/>
      </w:r>
      <w:r w:rsidRPr="002D2E4B">
        <w:rPr>
          <w:b/>
          <w:bCs/>
          <w:sz w:val="18"/>
          <w:szCs w:val="18"/>
          <w:rtl/>
        </w:rPr>
        <w:t>الكلمات المفتاحية –</w:t>
      </w:r>
      <w:r w:rsidRPr="002D2E4B">
        <w:rPr>
          <w:b/>
          <w:bCs/>
          <w:sz w:val="18"/>
          <w:szCs w:val="18"/>
          <w:rtl/>
          <w:lang w:bidi="ar-EG"/>
        </w:rPr>
        <w:t xml:space="preserve"> القياس ، المعلول ، اللغوى</w:t>
      </w:r>
      <w:r w:rsidRPr="002D2E4B">
        <w:rPr>
          <w:b/>
          <w:bCs/>
          <w:sz w:val="18"/>
          <w:szCs w:val="18"/>
          <w:rtl/>
        </w:rPr>
        <w:t xml:space="preserve"> </w:t>
      </w:r>
    </w:p>
    <w:p w:rsidR="00146D3D" w:rsidRPr="002D2E4B" w:rsidRDefault="00146D3D" w:rsidP="00A71251">
      <w:pPr>
        <w:pStyle w:val="NormalWeb"/>
        <w:jc w:val="center"/>
        <w:rPr>
          <w:b/>
          <w:bCs/>
          <w:sz w:val="18"/>
          <w:szCs w:val="18"/>
          <w:lang w:bidi="ar-EG"/>
        </w:rPr>
      </w:pPr>
      <w:r w:rsidRPr="002D2E4B">
        <w:rPr>
          <w:b/>
          <w:bCs/>
          <w:sz w:val="18"/>
          <w:szCs w:val="18"/>
          <w:rtl/>
        </w:rPr>
        <w:t>المقدمة</w:t>
      </w:r>
      <w:r w:rsidRPr="002D2E4B">
        <w:rPr>
          <w:b/>
          <w:bCs/>
          <w:sz w:val="18"/>
          <w:szCs w:val="18"/>
          <w:lang w:bidi="ar-EG"/>
        </w:rPr>
        <w:t>.I</w:t>
      </w:r>
    </w:p>
    <w:p w:rsidR="00146D3D" w:rsidRPr="002D2E4B" w:rsidRDefault="00146D3D" w:rsidP="00A71251">
      <w:pPr>
        <w:pStyle w:val="NormalWeb"/>
        <w:jc w:val="right"/>
        <w:rPr>
          <w:b/>
          <w:bCs/>
          <w:sz w:val="18"/>
          <w:szCs w:val="18"/>
          <w:rtl/>
          <w:lang w:bidi="ar-EG"/>
        </w:rPr>
      </w:pPr>
      <w:r w:rsidRPr="002D2E4B">
        <w:rPr>
          <w:b/>
          <w:bCs/>
          <w:sz w:val="18"/>
          <w:szCs w:val="18"/>
        </w:rPr>
        <w:br/>
      </w:r>
      <w:r w:rsidRPr="002D2E4B">
        <w:rPr>
          <w:b/>
          <w:bCs/>
          <w:sz w:val="18"/>
          <w:szCs w:val="18"/>
          <w:rtl/>
        </w:rPr>
        <w:t xml:space="preserve">الحمد لله رب العالمين، والصلاة والسلام على أشرف المرسلين سيدنا محمد، وعلى آله وصحبه والتابعين ، سوف نقوم في هذا البحث بمعرفة </w:t>
      </w:r>
      <w:r w:rsidRPr="002D2E4B">
        <w:rPr>
          <w:b/>
          <w:bCs/>
          <w:sz w:val="18"/>
          <w:szCs w:val="18"/>
          <w:rtl/>
          <w:lang w:bidi="ar-EG"/>
        </w:rPr>
        <w:t>معرفة الحديث المعلل</w:t>
      </w:r>
    </w:p>
    <w:p w:rsidR="00146D3D" w:rsidRPr="002D2E4B" w:rsidRDefault="00146D3D" w:rsidP="00A71251">
      <w:pPr>
        <w:pStyle w:val="NormalWeb"/>
        <w:jc w:val="center"/>
        <w:rPr>
          <w:b/>
          <w:bCs/>
          <w:sz w:val="18"/>
          <w:szCs w:val="18"/>
        </w:rPr>
      </w:pPr>
      <w:r w:rsidRPr="002D2E4B">
        <w:rPr>
          <w:b/>
          <w:bCs/>
          <w:sz w:val="18"/>
          <w:szCs w:val="18"/>
        </w:rPr>
        <w:br/>
      </w:r>
      <w:r w:rsidRPr="002D2E4B">
        <w:rPr>
          <w:b/>
          <w:bCs/>
          <w:sz w:val="18"/>
          <w:szCs w:val="18"/>
          <w:rtl/>
        </w:rPr>
        <w:t>.عنوان المقال</w:t>
      </w:r>
      <w:r w:rsidRPr="002D2E4B">
        <w:rPr>
          <w:b/>
          <w:bCs/>
          <w:sz w:val="18"/>
          <w:szCs w:val="18"/>
        </w:rPr>
        <w:t xml:space="preserve"> II</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قال ابن الصلاح: "يسميه أهل الحديث المعلول، وذلك منهم ومن الفقهاء في قولهم في باب القياس: العلة، والمعلول مرذول عند أهل العربية واللغة" يعني: ليس هذا هو المعنى الاصطلاحي، وإنما هو يريد أن يقول المعنى اللغوي.</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قال ابن الصلاح: "اعلم أن معرفة علل الحديث من أجَلِّ علوم الحديث وأدقها وأشرفها، وإنما يَطَّلِع بذلك أهل الحفظ والخبرة والفهم الثاقب، هذا هو المعنى الاصطلاحي، وهي عبارة عن أسباب خفية قادحة فيه، فالحديث المعلل هو الحديث الذي اطلع فيه على علة تقدح في صحته -يعني: تؤثر في صحته- مع أن ظاهره السلامة منها، ويتطرق ذلك -يعني: العلة- إلى الإسناد الذي رجاله ثقات الجامع شروط الصحة من حيث الظاهر.</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ويستعان على إدراكها بتفرد الراوي وبمخالفة غيره له، يعني: تعرف العلة بأن يتفرد الراوي بحديث ويخالفه غيره من الثقات، مع قرائن تنضم إلى ذلك، تنبه العارف بهذا الشأن على إرسال في الموصول، أو وقف في المرفوع، أو دخول حديث في حديث، أو وهم واهم بغير ذلك، بحيث يغلب على ظنه ذلك فيحكم به أو يتردد فيتوقف فيه، وكل ذلك من هذه الأنواع -أنواع العلل- مانع من الحكم بصحة ما وجد ذلك فيه".</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 xml:space="preserve">قال ابن الصلاح: وكثيرًا ما يعللون الموصول بالمرسل، مثل أن يجيء الحديث بإسناد موصول، ويجيء أيضًا بإسناد منقطع أقوى من إسناد الموصول، فيكون الحديث المرسل سببًا في كون الموصول فيه علة، ولهذا اشتملت كتب علل الحديث على جميع طرقه. </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قال الخطيب أبو بكر: السبيل إلى معرفة علة الحديث أن يجمع بين طرقه، وينظر في اختلاف رواته ويعتبر بمكانهم من الحفظ، ومنزلتهم في الإتقان والضبط، وروي عن علي بن المديني قال: الباب إذا لم تجمع طرقه لم يتبين خطؤه، ومعناه أنه إذا لم تجمع طرقه لم يتبين ما فيه من علة وما ليس فيه من علة.</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ثم قد تقع العلة في إسناد الحديث وهو الأكثر وقد تقع في متنه، ثم ما يقع في الإسناد قد يقدح في صحة الإسناد والمتن جميعًا، كما في التعليل بالإرسال والوقف، وقد يقدح في صحة الإسناد خاصة من غير قدح في صحة المتن، فقد يكون المتن صحيحًا لأنه جاء من طرق صحيحة أخرى.</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 xml:space="preserve">قال ابن الصلاح: "فمن أمثلة ما وقعت العلة في إسناده من غير قدح في صحة المتن ما رواه الثقة يعلى بن عبيد، عن سفيان الثوري، عن عمرو بن دينار، عن ابن عمر، عن النبي </w:t>
      </w:r>
      <w:r w:rsidRPr="002D2E4B">
        <w:rPr>
          <w:b/>
          <w:bCs/>
          <w:spacing w:val="20"/>
          <w:position w:val="-4"/>
          <w:sz w:val="18"/>
          <w:szCs w:val="18"/>
        </w:rPr>
        <w:sym w:font="AGA Arabesque" w:char="F065"/>
      </w:r>
      <w:r w:rsidRPr="002D2E4B">
        <w:rPr>
          <w:b/>
          <w:bCs/>
          <w:sz w:val="18"/>
          <w:szCs w:val="18"/>
          <w:rtl/>
        </w:rPr>
        <w:t>قال: ((البيعان بالخيار...)) الحديث، يعني: ((ما لم يتفرقا)) إلى آخره، فهذا إسناد متصل بنقل العدل عن العدل وهو معلل غير صحيح، والمتن على كل حال صحيح، والعلة في قوله: عن عمرو بن دينار، إنما هو عن عبد الله بن دينار عن ابن عمر، فحدث قلب في هذا الراوي، هكذا رواه الأئمة من أصحاب سفيان عنه، فوهم يعلى بن عبيد وعدل عن عبد الله بن دينار إلى عمرو بن دينار وكلاهما ثقة، وهذا هو الذي جعل العلة خفية؛ لأنه من ليس عنده خبرة يحكم على الحديث بأنه صحيح وليس كذلك.</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وكما ترى إنما توصل العلماء إلى هذه العلة عندما قارنوا ما روى يعلى بن عبيد بما رواه الأئمة من أصحاب سفيان عنه، فرووا أنه خالفهم وأنه وهِم، فقلب هذا الراوي وجعله عمرو بن دينار بدلًا من الصحيح، وهو أن الذي روى هذا الحديث هو عبد الله بن دينار، فهذه العلة في السند وليست في المتن والمتن صحيح؛ لأنه جاء من طرق صحيحة.</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ومثال العلة في المتن: ما انفرد مسلم بإخراجه في حديث أنس من اللفظ المصرح بنفي قراءة: "بسم الله الرحمن الرحيم"، فعلل قوم رواية اللفظ المذكور لمّا رأوا الأكثرين إنما قالوا فيه: فكانوا يستفتحون القراءة بالحمد لله رب العالمين، من غير تعرض لذكر البسملة، وهو الذي اتفق البخاري ومسلم على إخراجه في الصحيح.</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 xml:space="preserve">ورأوا أن من رواه باللفظ المذكور رواه بالمعنى الذي وقع له، ففهم من قوله: كانوا يستفتحون بالحمد لله، أنهم كانوا لا يبسملون، فنفى القراءة فرواه على ما فهم وأخطأ؛ لأن معناه أن السورة التي كانوا يفتتحون بها من السور هي "الفاتحة"، وليس فيه تعرض لذكر التسمية، وانضم إلى ذلك أمور منها أنه ثبت عن أنس أنه سئل عن الافتتاح بالتسمية، فذكر أنه لا يحفظ فيه شيئًا عن رسول الله </w:t>
      </w:r>
      <w:r w:rsidRPr="002D2E4B">
        <w:rPr>
          <w:b/>
          <w:bCs/>
          <w:sz w:val="18"/>
          <w:szCs w:val="18"/>
        </w:rPr>
        <w:t></w:t>
      </w:r>
      <w:r w:rsidRPr="002D2E4B">
        <w:rPr>
          <w:b/>
          <w:bCs/>
          <w:sz w:val="18"/>
          <w:szCs w:val="18"/>
          <w:rtl/>
        </w:rPr>
        <w:t>.</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ولقائل أن يقول: إن هذا الحديث وقد أتى به مسلم في صحيحه، يرى أنه صحيح وأنه لا يتعارض مع الأحاديث الأخرى، ومعناه نفي الجهر بالقراءة ببسم الله الرحمن الرحيم، ونفي الجهر لا يتعارض مع كونها تقرأ من غير جهر، كما ذهب إليه كثير من العلماء".</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قال ابن الصلاح بعد أن بين مثالًا للعلة في المتن ومثالًا للعلة في الإسناد: "ثم اعلم أنه قد يطلق اسم العلة على غير ما ذكرناه، من باقي الأسباب القادحة في الحديث، المخرجة له من حال الصحة إلى حال الضعف المانعة من العمل به، على ما هو مقتضى لفظ العلة في الأصل، يعني: الأكثر في العلل أن الحديث يكون صحيحًا أو جاء بوجه صحيح فتعتريه العلة فيضعف، لكن هناك أسباب أخرى تجعل الحديث معلولًا، أو هي موجودة في كتب علل الحديث، ومثل لها الإمام ابن الصلاح بقوله: ولذلك تجد في كتب علل الحديث الكثير من الجرح بالكذب والغفلة وسوء الحفظ، ونحو ذلك من أنواع الجرح.</w:t>
      </w:r>
    </w:p>
    <w:p w:rsidR="00146D3D" w:rsidRPr="002D2E4B" w:rsidRDefault="00146D3D" w:rsidP="00A71251">
      <w:pPr>
        <w:pStyle w:val="NormalWeb"/>
        <w:bidi/>
        <w:spacing w:before="0" w:beforeAutospacing="0" w:after="120" w:afterAutospacing="0"/>
        <w:jc w:val="lowKashida"/>
        <w:rPr>
          <w:b/>
          <w:bCs/>
          <w:sz w:val="18"/>
          <w:szCs w:val="18"/>
        </w:rPr>
      </w:pPr>
      <w:r w:rsidRPr="002D2E4B">
        <w:rPr>
          <w:b/>
          <w:bCs/>
          <w:sz w:val="18"/>
          <w:szCs w:val="18"/>
          <w:rtl/>
        </w:rPr>
        <w:t>وسمى الترمذي النسخ علة من علل الحديث، يعني: مع أن الناسخ والمنسوخ قد جاء بطريق صحيح، ثم إن بعضهم أطلق اسم العلة على ما ليس بقادح من وجوه الخلاف، نحو إرسال من أرسل الحديث الذي أسنده الثقة الضابط، وحتى قال: من أقسام الصحيح ما هو صحيح معلول، كما قال بعضهم: من الصحيح ما هو صحيح شاذ، يعني رجاله ثقات ولكنه شاذ".</w:t>
      </w:r>
    </w:p>
    <w:p w:rsidR="00146D3D" w:rsidRPr="002D2E4B" w:rsidRDefault="00146D3D" w:rsidP="00A71251">
      <w:pPr>
        <w:pStyle w:val="NormalWeb"/>
        <w:bidi/>
        <w:spacing w:before="0" w:beforeAutospacing="0" w:after="120" w:afterAutospacing="0"/>
        <w:jc w:val="lowKashida"/>
        <w:rPr>
          <w:b/>
          <w:bCs/>
          <w:sz w:val="18"/>
          <w:szCs w:val="18"/>
          <w:rtl/>
        </w:rPr>
      </w:pPr>
      <w:r w:rsidRPr="002D2E4B">
        <w:rPr>
          <w:b/>
          <w:bCs/>
          <w:sz w:val="18"/>
          <w:szCs w:val="18"/>
          <w:rtl/>
        </w:rPr>
        <w:t>وكذلك يريد ابن الصلاح أن يقول: إن إرسال من أرسل الحديث الذي أسنده الثقة الضابط لا يقدح فيه، وأجل كتاب في العلل كتاب الحافظ ابن المديني، وكذلك كتاب ابن أبي حاتم، وكتاب (العلل) للخَلّال، وأجمعها كتاب الحافظ الدارقطني، وكتاب ابن أبي حاتم قد طبع محققًا، وكذلك كتاب الدارقطني إلا قليلًا منه لم يوجد في النسخة المطبوعة.</w:t>
      </w:r>
    </w:p>
    <w:p w:rsidR="00146D3D" w:rsidRDefault="00146D3D" w:rsidP="000A56B4">
      <w:pPr>
        <w:tabs>
          <w:tab w:val="left" w:pos="1177"/>
        </w:tabs>
        <w:spacing w:line="240" w:lineRule="auto"/>
        <w:jc w:val="center"/>
        <w:rPr>
          <w:rFonts w:ascii="Times New Roman" w:hAnsi="Times New Roman" w:cs="Times New Roman"/>
          <w:b/>
          <w:bCs/>
          <w:sz w:val="18"/>
          <w:szCs w:val="18"/>
          <w:rtl/>
        </w:rPr>
      </w:pPr>
    </w:p>
    <w:p w:rsidR="00146D3D" w:rsidRDefault="00146D3D" w:rsidP="000A56B4">
      <w:pPr>
        <w:tabs>
          <w:tab w:val="left" w:pos="1177"/>
        </w:tabs>
        <w:spacing w:line="240" w:lineRule="auto"/>
        <w:jc w:val="center"/>
        <w:rPr>
          <w:rFonts w:ascii="Times New Roman" w:hAnsi="Times New Roman" w:cs="Times New Roman"/>
          <w:b/>
          <w:bCs/>
          <w:sz w:val="18"/>
          <w:szCs w:val="18"/>
        </w:rPr>
      </w:pPr>
      <w:r>
        <w:rPr>
          <w:rFonts w:ascii="Times New Roman" w:hAnsi="Times New Roman" w:cs="Times New Roman"/>
          <w:b/>
          <w:bCs/>
          <w:sz w:val="18"/>
          <w:szCs w:val="18"/>
          <w:rtl/>
        </w:rPr>
        <w:t>المراجع والمصادر</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محمد بن محمد أبو شهبه</w:t>
      </w:r>
      <w:r>
        <w:rPr>
          <w:rFonts w:ascii="Times New Roman" w:hAnsi="Times New Roman" w:cs="Times New Roman"/>
          <w:b/>
          <w:bCs/>
          <w:noProof/>
          <w:sz w:val="18"/>
          <w:szCs w:val="18"/>
          <w:rtl/>
          <w:lang w:eastAsia="ar-SA"/>
        </w:rPr>
        <w:t xml:space="preserve"> ، (الوسيط في علوم ومصطلح الحديث) </w:t>
      </w:r>
      <w:r>
        <w:rPr>
          <w:rFonts w:ascii="Times New Roman" w:hAnsi="Times New Roman" w:cs="Times New Roman"/>
          <w:b/>
          <w:bCs/>
          <w:sz w:val="18"/>
          <w:szCs w:val="18"/>
          <w:rtl/>
        </w:rPr>
        <w:t>، طبعة عالم المعرفة، جدة 1983م.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عثمان بن عبد الرحمن ابن الصلاح</w:t>
      </w:r>
      <w:r>
        <w:rPr>
          <w:rFonts w:ascii="Times New Roman" w:hAnsi="Times New Roman" w:cs="Times New Roman"/>
          <w:b/>
          <w:bCs/>
          <w:noProof/>
          <w:sz w:val="18"/>
          <w:szCs w:val="18"/>
          <w:rtl/>
          <w:lang w:eastAsia="ar-SA"/>
        </w:rPr>
        <w:t xml:space="preserve"> ، (مقدمة ابن الصلاح ومحاسن الإصطلاح) </w:t>
      </w:r>
      <w:r>
        <w:rPr>
          <w:rFonts w:ascii="Times New Roman" w:hAnsi="Times New Roman" w:cs="Times New Roman"/>
          <w:b/>
          <w:bCs/>
          <w:sz w:val="18"/>
          <w:szCs w:val="18"/>
          <w:rtl/>
        </w:rPr>
        <w:t>، تحقيق: عائشة عبد الرحمن، الهيئة المصرية العامة للكتاب 1974م.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نخبة من الباحثين</w:t>
      </w:r>
      <w:r>
        <w:rPr>
          <w:rFonts w:ascii="Times New Roman" w:hAnsi="Times New Roman" w:cs="Times New Roman"/>
          <w:b/>
          <w:bCs/>
          <w:noProof/>
          <w:sz w:val="18"/>
          <w:szCs w:val="18"/>
          <w:rtl/>
          <w:lang w:eastAsia="ar-SA"/>
        </w:rPr>
        <w:t xml:space="preserve"> ، (موسوعة علوم الحديث الشريف) </w:t>
      </w:r>
      <w:r>
        <w:rPr>
          <w:rFonts w:ascii="Times New Roman" w:hAnsi="Times New Roman" w:cs="Times New Roman"/>
          <w:b/>
          <w:bCs/>
          <w:sz w:val="18"/>
          <w:szCs w:val="18"/>
          <w:rtl/>
        </w:rPr>
        <w:t>، المجلس الأعلى للشئون الإسلامية، مصر  2003م.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الجزائري، طاهر بن صالح الجزائري</w:t>
      </w:r>
      <w:r>
        <w:rPr>
          <w:rFonts w:ascii="Times New Roman" w:hAnsi="Times New Roman" w:cs="Times New Roman"/>
          <w:b/>
          <w:bCs/>
          <w:noProof/>
          <w:sz w:val="18"/>
          <w:szCs w:val="18"/>
          <w:rtl/>
          <w:lang w:eastAsia="ar-SA"/>
        </w:rPr>
        <w:t xml:space="preserve"> ، (توجيه النظر إلى أصول الأثر) </w:t>
      </w:r>
      <w:r>
        <w:rPr>
          <w:rFonts w:ascii="Times New Roman" w:hAnsi="Times New Roman" w:cs="Times New Roman"/>
          <w:b/>
          <w:bCs/>
          <w:spacing w:val="-4"/>
          <w:sz w:val="18"/>
          <w:szCs w:val="18"/>
          <w:rtl/>
        </w:rPr>
        <w:t>، عناية: عبد الفتاح أبو غدة، دار المعرفة، بيروت 1972م.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الصالح، صبحي الصالح</w:t>
      </w:r>
      <w:r>
        <w:rPr>
          <w:rFonts w:ascii="Times New Roman" w:hAnsi="Times New Roman" w:cs="Times New Roman"/>
          <w:b/>
          <w:bCs/>
          <w:noProof/>
          <w:sz w:val="18"/>
          <w:szCs w:val="18"/>
          <w:rtl/>
          <w:lang w:eastAsia="ar-SA"/>
        </w:rPr>
        <w:t xml:space="preserve"> ، (علوم الحديث ومصطلحه) </w:t>
      </w:r>
      <w:r>
        <w:rPr>
          <w:rFonts w:ascii="Times New Roman" w:hAnsi="Times New Roman" w:cs="Times New Roman"/>
          <w:b/>
          <w:bCs/>
          <w:sz w:val="18"/>
          <w:szCs w:val="18"/>
          <w:rtl/>
        </w:rPr>
        <w:t>،  دار العلم للملايين 1969م..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النهانوي، ظفر أحمد النهانوي</w:t>
      </w:r>
      <w:r>
        <w:rPr>
          <w:rFonts w:ascii="Times New Roman" w:hAnsi="Times New Roman" w:cs="Times New Roman"/>
          <w:b/>
          <w:bCs/>
          <w:noProof/>
          <w:sz w:val="18"/>
          <w:szCs w:val="18"/>
          <w:rtl/>
          <w:lang w:eastAsia="ar-SA"/>
        </w:rPr>
        <w:t xml:space="preserve"> ، (قواعد في علوم الحديث) </w:t>
      </w:r>
      <w:r>
        <w:rPr>
          <w:rFonts w:ascii="Times New Roman" w:hAnsi="Times New Roman" w:cs="Times New Roman"/>
          <w:b/>
          <w:bCs/>
          <w:spacing w:val="-4"/>
          <w:sz w:val="18"/>
          <w:szCs w:val="18"/>
          <w:rtl/>
        </w:rPr>
        <w:t>، تحقيق: عبد الفتاح أبو غدة، مكتب المطبوعات الإسلامية 1984م.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(توثيق السنة في القرن الثاني الهجري أسسه واتجاهاته) </w:t>
      </w:r>
      <w:r>
        <w:rPr>
          <w:rFonts w:ascii="Times New Roman" w:hAnsi="Times New Roman" w:cs="Times New Roman"/>
          <w:b/>
          <w:bCs/>
          <w:sz w:val="18"/>
          <w:szCs w:val="18"/>
          <w:rtl/>
        </w:rPr>
        <w:t>، مكتبة الخانجي – القاهرة 1981م.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الطحان، محمود الطحان</w:t>
      </w:r>
      <w:r>
        <w:rPr>
          <w:rFonts w:ascii="Times New Roman" w:hAnsi="Times New Roman" w:cs="Times New Roman"/>
          <w:b/>
          <w:bCs/>
          <w:noProof/>
          <w:sz w:val="18"/>
          <w:szCs w:val="18"/>
          <w:rtl/>
          <w:lang w:eastAsia="ar-SA"/>
        </w:rPr>
        <w:t xml:space="preserve"> ، (أصول التخريج و دراسة الأسانيد) </w:t>
      </w:r>
      <w:r>
        <w:rPr>
          <w:rFonts w:ascii="Times New Roman" w:hAnsi="Times New Roman" w:cs="Times New Roman"/>
          <w:b/>
          <w:bCs/>
          <w:sz w:val="18"/>
          <w:szCs w:val="18"/>
          <w:rtl/>
        </w:rPr>
        <w:t>، مكتبة المعارف للنشر والتوزيع – الرياض 1996م.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البغدادي، أحمد بن علي بن ثابت الخطيب البغدادي</w:t>
      </w:r>
      <w:r>
        <w:rPr>
          <w:rFonts w:ascii="Times New Roman" w:hAnsi="Times New Roman" w:cs="Times New Roman"/>
          <w:b/>
          <w:bCs/>
          <w:noProof/>
          <w:sz w:val="18"/>
          <w:szCs w:val="18"/>
          <w:rtl/>
          <w:lang w:eastAsia="ar-SA"/>
        </w:rPr>
        <w:t xml:space="preserve"> ، (الرحلة في طلب الحديث) </w:t>
      </w:r>
      <w:r>
        <w:rPr>
          <w:rFonts w:ascii="Times New Roman" w:hAnsi="Times New Roman" w:cs="Times New Roman"/>
          <w:b/>
          <w:bCs/>
          <w:sz w:val="18"/>
          <w:szCs w:val="18"/>
          <w:rtl/>
        </w:rPr>
        <w:t>، تحقيق: نور الدين عتر، دار الكتب العلمية – بيروت 1975م.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الخطيب، محمد عجاج الخطيب</w:t>
      </w:r>
      <w:r>
        <w:rPr>
          <w:rFonts w:ascii="Times New Roman" w:hAnsi="Times New Roman" w:cs="Times New Roman"/>
          <w:b/>
          <w:bCs/>
          <w:noProof/>
          <w:sz w:val="18"/>
          <w:szCs w:val="18"/>
          <w:rtl/>
          <w:lang w:eastAsia="ar-SA"/>
        </w:rPr>
        <w:t xml:space="preserve"> ، (السنة قبل التدوين) </w:t>
      </w:r>
      <w:r>
        <w:rPr>
          <w:rFonts w:ascii="Times New Roman" w:hAnsi="Times New Roman" w:cs="Times New Roman"/>
          <w:b/>
          <w:bCs/>
          <w:sz w:val="18"/>
          <w:szCs w:val="18"/>
          <w:rtl/>
        </w:rPr>
        <w:t>،  دار الفكر 1971م.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(المدخل إلى منهاج المحدثين) </w:t>
      </w:r>
      <w:r>
        <w:rPr>
          <w:rFonts w:ascii="Times New Roman" w:hAnsi="Times New Roman" w:cs="Times New Roman"/>
          <w:b/>
          <w:bCs/>
          <w:sz w:val="18"/>
          <w:szCs w:val="18"/>
          <w:rtl/>
        </w:rPr>
        <w:t xml:space="preserve">  دار السلام – القاهرة 2001م.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رفعت فوزي عبد المطلب</w:t>
      </w:r>
      <w:r>
        <w:rPr>
          <w:rFonts w:ascii="Times New Roman" w:hAnsi="Times New Roman" w:cs="Times New Roman"/>
          <w:b/>
          <w:bCs/>
          <w:noProof/>
          <w:sz w:val="18"/>
          <w:szCs w:val="18"/>
          <w:rtl/>
          <w:lang w:eastAsia="ar-SA"/>
        </w:rPr>
        <w:t xml:space="preserve"> ، ( ابن أبي حاتم الرازي وأثره في علوم الحديث) </w:t>
      </w:r>
      <w:r>
        <w:rPr>
          <w:rFonts w:ascii="Times New Roman" w:hAnsi="Times New Roman" w:cs="Times New Roman"/>
          <w:b/>
          <w:bCs/>
          <w:sz w:val="18"/>
          <w:szCs w:val="18"/>
          <w:rtl/>
        </w:rPr>
        <w:t>، مكتبة الخانجي - القاهرة 1994م.</w:t>
      </w:r>
    </w:p>
    <w:p w:rsidR="00146D3D" w:rsidRDefault="00146D3D" w:rsidP="000A56B4">
      <w:pPr>
        <w:pStyle w:val="ListParagraph"/>
        <w:numPr>
          <w:ilvl w:val="0"/>
          <w:numId w:val="2"/>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الصنعاني، محمد بن إسماعيل الأمير الصنعاني</w:t>
      </w:r>
      <w:r>
        <w:rPr>
          <w:rFonts w:ascii="Times New Roman" w:hAnsi="Times New Roman" w:cs="Times New Roman"/>
          <w:b/>
          <w:bCs/>
          <w:noProof/>
          <w:sz w:val="18"/>
          <w:szCs w:val="18"/>
          <w:rtl/>
          <w:lang w:eastAsia="ar-SA"/>
        </w:rPr>
        <w:t xml:space="preserve"> ، (توضيح الأفكار لمعاني تنقيح الأنظار) </w:t>
      </w:r>
      <w:r>
        <w:rPr>
          <w:rFonts w:ascii="Times New Roman" w:hAnsi="Times New Roman" w:cs="Times New Roman"/>
          <w:b/>
          <w:bCs/>
          <w:sz w:val="18"/>
          <w:szCs w:val="18"/>
          <w:rtl/>
        </w:rPr>
        <w:t>،  دار إحياء التراث العربي 1945م.</w:t>
      </w:r>
    </w:p>
    <w:p w:rsidR="00146D3D" w:rsidRPr="002D2E4B" w:rsidRDefault="00146D3D" w:rsidP="00A71251">
      <w:pPr>
        <w:pStyle w:val="ListParagraph"/>
        <w:spacing w:after="0" w:line="240" w:lineRule="auto"/>
        <w:ind w:left="646"/>
        <w:jc w:val="lowKashida"/>
        <w:rPr>
          <w:rFonts w:ascii="Times New Roman" w:hAnsi="Times New Roman" w:cs="Times New Roman"/>
          <w:b/>
          <w:bCs/>
          <w:sz w:val="18"/>
          <w:szCs w:val="18"/>
          <w:rtl/>
        </w:rPr>
      </w:pPr>
    </w:p>
    <w:p w:rsidR="00146D3D" w:rsidRPr="002D2E4B" w:rsidRDefault="00146D3D" w:rsidP="00A71251">
      <w:pPr>
        <w:jc w:val="center"/>
        <w:rPr>
          <w:rFonts w:ascii="Times New Roman" w:hAnsi="Times New Roman" w:cs="Times New Roman"/>
          <w:rtl/>
        </w:rPr>
        <w:sectPr w:rsidR="00146D3D" w:rsidRPr="002D2E4B" w:rsidSect="00A71251">
          <w:type w:val="continuous"/>
          <w:pgSz w:w="11906" w:h="16838"/>
          <w:pgMar w:top="1440" w:right="1440" w:bottom="1440" w:left="1440" w:header="720" w:footer="720" w:gutter="0"/>
          <w:cols w:num="2" w:space="720"/>
          <w:bidi/>
          <w:rtlGutter/>
          <w:docGrid w:linePitch="360"/>
        </w:sectPr>
      </w:pPr>
    </w:p>
    <w:p w:rsidR="00146D3D" w:rsidRPr="002D2E4B" w:rsidRDefault="00146D3D" w:rsidP="00A71251">
      <w:pPr>
        <w:jc w:val="center"/>
        <w:rPr>
          <w:rFonts w:ascii="Times New Roman" w:hAnsi="Times New Roman" w:cs="Times New Roman"/>
        </w:rPr>
      </w:pPr>
    </w:p>
    <w:sectPr w:rsidR="00146D3D" w:rsidRPr="002D2E4B" w:rsidSect="00A71251">
      <w:type w:val="continuous"/>
      <w:pgSz w:w="11906" w:h="16838"/>
      <w:pgMar w:top="1440" w:right="1440" w:bottom="1440" w:left="144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L-Mateen">
    <w:altName w:val="Times New Roman"/>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
    <w:panose1 w:val="02010600030101010101"/>
    <w:charset w:val="86"/>
    <w:family w:val="auto"/>
    <w:notTrueType/>
    <w:pitch w:val="variable"/>
    <w:sig w:usb0="00000001" w:usb1="080E0000" w:usb2="00000010" w:usb3="00000000" w:csb0="00040000" w:csb1="00000000"/>
  </w:font>
  <w:font w:name="AGA Arabesque">
    <w:altName w:val="Symbol"/>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B71B0F"/>
    <w:multiLevelType w:val="hybridMultilevel"/>
    <w:tmpl w:val="391C3BB6"/>
    <w:lvl w:ilvl="0" w:tplc="88F46F38">
      <w:start w:val="1"/>
      <w:numFmt w:val="decimal"/>
      <w:lvlText w:val="%1."/>
      <w:lvlJc w:val="left"/>
      <w:pPr>
        <w:tabs>
          <w:tab w:val="num" w:pos="644"/>
        </w:tabs>
        <w:ind w:left="644" w:hanging="360"/>
      </w:pPr>
      <w:rPr>
        <w:rFonts w:cs="Times New Roman" w:hint="default"/>
        <w:color w:val="auto"/>
      </w:rPr>
    </w:lvl>
    <w:lvl w:ilvl="1" w:tplc="306611FA">
      <w:start w:val="13"/>
      <w:numFmt w:val="decimal"/>
      <w:lvlText w:val="%2."/>
      <w:lvlJc w:val="left"/>
      <w:pPr>
        <w:tabs>
          <w:tab w:val="num" w:pos="646"/>
        </w:tabs>
        <w:ind w:left="646" w:hanging="362"/>
      </w:pPr>
      <w:rPr>
        <w:rFonts w:cs="AL-Mateen" w:hint="default"/>
        <w:color w:val="auto"/>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 w:numId="2">
    <w:abstractNumId w:val="0"/>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71251"/>
    <w:rsid w:val="0008032C"/>
    <w:rsid w:val="000A56B4"/>
    <w:rsid w:val="00146D3D"/>
    <w:rsid w:val="002D2E4B"/>
    <w:rsid w:val="003A5367"/>
    <w:rsid w:val="00A71251"/>
    <w:rsid w:val="00C56A94"/>
    <w:rsid w:val="00CC4354"/>
    <w:rsid w:val="00D6076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354"/>
    <w:pPr>
      <w:bidi/>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filiation">
    <w:name w:val="Affiliation"/>
    <w:uiPriority w:val="99"/>
    <w:rsid w:val="00A71251"/>
    <w:pPr>
      <w:suppressAutoHyphens/>
      <w:jc w:val="center"/>
    </w:pPr>
    <w:rPr>
      <w:rFonts w:ascii="Times New Roman" w:eastAsia="SimSun" w:hAnsi="Times New Roman" w:cs="Times New Roman"/>
      <w:sz w:val="20"/>
      <w:szCs w:val="20"/>
      <w:lang w:eastAsia="zh-CN"/>
    </w:rPr>
  </w:style>
  <w:style w:type="paragraph" w:customStyle="1" w:styleId="Author">
    <w:name w:val="Author"/>
    <w:uiPriority w:val="99"/>
    <w:rsid w:val="00A71251"/>
    <w:pPr>
      <w:suppressAutoHyphens/>
      <w:spacing w:before="360" w:after="40"/>
      <w:jc w:val="center"/>
    </w:pPr>
    <w:rPr>
      <w:rFonts w:ascii="Times New Roman" w:eastAsia="SimSun" w:hAnsi="Times New Roman" w:cs="Times New Roman"/>
    </w:rPr>
  </w:style>
  <w:style w:type="paragraph" w:styleId="ListParagraph">
    <w:name w:val="List Paragraph"/>
    <w:basedOn w:val="Normal"/>
    <w:uiPriority w:val="99"/>
    <w:qFormat/>
    <w:rsid w:val="00A71251"/>
    <w:pPr>
      <w:ind w:left="720"/>
    </w:pPr>
  </w:style>
  <w:style w:type="paragraph" w:styleId="NormalWeb">
    <w:name w:val="Normal (Web)"/>
    <w:basedOn w:val="Normal"/>
    <w:uiPriority w:val="99"/>
    <w:rsid w:val="00A71251"/>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364700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2</Pages>
  <Words>969</Words>
  <Characters>5526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Miso</dc:creator>
  <cp:keywords/>
  <dc:description/>
  <cp:lastModifiedBy>asu</cp:lastModifiedBy>
  <cp:revision>4</cp:revision>
  <dcterms:created xsi:type="dcterms:W3CDTF">2013-06-19T01:21:00Z</dcterms:created>
  <dcterms:modified xsi:type="dcterms:W3CDTF">2013-06-20T14:25:00Z</dcterms:modified>
</cp:coreProperties>
</file>