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CB" w:rsidRDefault="004A4D2E" w:rsidP="004A4D2E">
      <w:pPr>
        <w:spacing w:line="240" w:lineRule="auto"/>
        <w:jc w:val="center"/>
        <w:rPr>
          <w:i/>
          <w:iCs/>
          <w:rtl/>
        </w:rPr>
      </w:pPr>
      <w:r w:rsidRPr="004A4D2E">
        <w:rPr>
          <w:rFonts w:asciiTheme="majorBidi" w:eastAsia="Calibri" w:hAnsiTheme="majorBidi" w:cstheme="majorBidi"/>
          <w:i/>
          <w:iCs/>
          <w:sz w:val="48"/>
          <w:szCs w:val="48"/>
          <w:rtl/>
        </w:rPr>
        <w:t>صلة البلاغة بكل من الأدب والنقد الأدبي</w:t>
      </w:r>
    </w:p>
    <w:p w:rsidR="004A4D2E" w:rsidRPr="00294A2D" w:rsidRDefault="004A4D2E" w:rsidP="004A4D2E">
      <w:pPr>
        <w:spacing w:line="240" w:lineRule="auto"/>
        <w:jc w:val="center"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/>
          <w:i/>
          <w:iCs/>
          <w:sz w:val="28"/>
          <w:szCs w:val="28"/>
          <w:rtl/>
        </w:rPr>
        <w:t xml:space="preserve">بحث  فى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دراسات بلاغيه</w:t>
      </w:r>
    </w:p>
    <w:p w:rsidR="004A4D2E" w:rsidRPr="00294A2D" w:rsidRDefault="004A4D2E" w:rsidP="00317575">
      <w:pPr>
        <w:spacing w:line="240" w:lineRule="auto"/>
        <w:jc w:val="center"/>
        <w:rPr>
          <w:rFonts w:asciiTheme="majorBidi" w:hAnsiTheme="majorBidi" w:cstheme="majorBidi"/>
        </w:rPr>
      </w:pPr>
      <w:r w:rsidRPr="00294A2D">
        <w:rPr>
          <w:rFonts w:asciiTheme="majorBidi" w:hAnsiTheme="majorBidi" w:cstheme="majorBidi"/>
          <w:rtl/>
        </w:rPr>
        <w:t xml:space="preserve">إعداد أ/ </w:t>
      </w:r>
      <w:r w:rsidR="00317575" w:rsidRPr="00317575">
        <w:rPr>
          <w:rFonts w:asciiTheme="majorBidi" w:hAnsiTheme="majorBidi" w:cstheme="majorBidi" w:hint="cs"/>
          <w:i/>
          <w:iCs/>
          <w:rtl/>
        </w:rPr>
        <w:t>د. وليد علي الطنطاوي</w:t>
      </w:r>
    </w:p>
    <w:p w:rsidR="004A4D2E" w:rsidRPr="0089766D" w:rsidRDefault="004A4D2E" w:rsidP="004A4D2E">
      <w:pPr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89766D">
        <w:rPr>
          <w:rFonts w:asciiTheme="majorBidi" w:hAnsiTheme="majorBidi" w:cstheme="majorBidi"/>
          <w:i/>
          <w:iCs/>
          <w:sz w:val="20"/>
          <w:szCs w:val="20"/>
          <w:rtl/>
        </w:rPr>
        <w:t>قسم اللغة العربية</w:t>
      </w:r>
    </w:p>
    <w:p w:rsidR="004A4D2E" w:rsidRPr="0089766D" w:rsidRDefault="004A4D2E" w:rsidP="004A4D2E">
      <w:pPr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89766D">
        <w:rPr>
          <w:rFonts w:asciiTheme="majorBidi" w:hAnsiTheme="majorBidi" w:cstheme="majorBidi"/>
          <w:i/>
          <w:iCs/>
          <w:sz w:val="20"/>
          <w:szCs w:val="20"/>
          <w:rtl/>
        </w:rPr>
        <w:t>كلية اللغات – جامعة المدينة العالمية</w:t>
      </w:r>
    </w:p>
    <w:p w:rsidR="004A4D2E" w:rsidRPr="0089766D" w:rsidRDefault="004A4D2E" w:rsidP="004A4D2E">
      <w:pPr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rtl/>
        </w:rPr>
      </w:pPr>
      <w:r w:rsidRPr="0089766D">
        <w:rPr>
          <w:rFonts w:asciiTheme="majorBidi" w:hAnsiTheme="majorBidi" w:cstheme="majorBidi"/>
          <w:i/>
          <w:iCs/>
          <w:sz w:val="20"/>
          <w:szCs w:val="20"/>
          <w:rtl/>
        </w:rPr>
        <w:t>شاه علم – ماليزيا</w:t>
      </w:r>
    </w:p>
    <w:p w:rsidR="004A4D2E" w:rsidRPr="0089766D" w:rsidRDefault="00ED2390" w:rsidP="004A4D2E">
      <w:pPr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ED2390">
        <w:rPr>
          <w:rFonts w:asciiTheme="majorBidi" w:hAnsiTheme="majorBidi" w:cstheme="majorBidi"/>
          <w:i/>
          <w:iCs/>
          <w:sz w:val="20"/>
          <w:szCs w:val="20"/>
        </w:rPr>
        <w:t>waleed.eltantawy@mediu.edu.my</w:t>
      </w:r>
    </w:p>
    <w:p w:rsidR="004A4D2E" w:rsidRDefault="004A4D2E" w:rsidP="004A4D2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  <w:sectPr w:rsidR="004A4D2E" w:rsidSect="00BF7572">
          <w:pgSz w:w="11906" w:h="16838"/>
          <w:pgMar w:top="964" w:right="1021" w:bottom="964" w:left="1021" w:header="709" w:footer="709" w:gutter="0"/>
          <w:cols w:space="708"/>
          <w:bidi/>
          <w:rtlGutter/>
          <w:docGrid w:linePitch="360"/>
        </w:sectPr>
      </w:pPr>
    </w:p>
    <w:p w:rsidR="004A4D2E" w:rsidRPr="004A4D2E" w:rsidRDefault="004A4D2E" w:rsidP="004A4D2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خلاصة ـــ هذا البحث يبحث في </w:t>
      </w:r>
      <w:r w:rsidRPr="004A4D2E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صلة البلاغة بكل من الأدب والنقد الأدبي</w:t>
      </w:r>
    </w:p>
    <w:p w:rsidR="004A4D2E" w:rsidRPr="004A4D2E" w:rsidRDefault="004A4D2E" w:rsidP="004A4D2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الكلمات المفتاحية :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العرب في جاهليتهم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،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معنى الثقافة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، </w:t>
      </w:r>
      <w:r w:rsidRPr="004A4D2E">
        <w:rPr>
          <w:rFonts w:asciiTheme="majorBidi" w:hAnsiTheme="majorBidi" w:cstheme="majorBidi"/>
          <w:b/>
          <w:bCs/>
          <w:spacing w:val="-4"/>
          <w:sz w:val="18"/>
          <w:szCs w:val="18"/>
          <w:rtl/>
          <w:lang w:bidi="ar-EG"/>
        </w:rPr>
        <w:t>التثقيف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</w:p>
    <w:p w:rsidR="004A4D2E" w:rsidRPr="004A4D2E" w:rsidRDefault="004A4D2E" w:rsidP="004A4D2E">
      <w:pPr>
        <w:pStyle w:val="a5"/>
        <w:numPr>
          <w:ilvl w:val="0"/>
          <w:numId w:val="2"/>
        </w:numPr>
        <w:spacing w:after="12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>المقدمة</w:t>
      </w:r>
    </w:p>
    <w:p w:rsidR="004A4D2E" w:rsidRPr="004A4D2E" w:rsidRDefault="004A4D2E" w:rsidP="004A4D2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لله، والصلاة والسلام على سيدنا رسول الله، وعلى آله وصحبه ومن والاه، سوف نتحدث في هذا المقال عن </w:t>
      </w:r>
      <w:r w:rsidRPr="004A4D2E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صلة البلاغة بكل من الأدب والنقد الأدبي</w:t>
      </w:r>
    </w:p>
    <w:p w:rsidR="004A4D2E" w:rsidRPr="004A4D2E" w:rsidRDefault="004A4D2E" w:rsidP="004A4D2E">
      <w:pPr>
        <w:pStyle w:val="a3"/>
        <w:numPr>
          <w:ilvl w:val="0"/>
          <w:numId w:val="2"/>
        </w:numPr>
        <w:bidi/>
        <w:spacing w:before="0" w:beforeAutospacing="0" w:after="120" w:afterAutospacing="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>عنوان المقال</w:t>
      </w:r>
    </w:p>
    <w:p w:rsidR="004A4D2E" w:rsidRPr="004A4D2E" w:rsidRDefault="004A4D2E" w:rsidP="004A4D2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على أنه ما يجب لفت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النظر إليه عند الكلام عن صلة البلاغة بالأدب، أن العرب في جاهليتهم لم تكن تعرف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من معنى كلمة الأدب إلَّا ما يقتصر بالخلق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القويم، والطبع المستقيم، ترى ذلك فيما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جاء في قول أبي هندٍ عتبة بن ربيعة، لأبي سفيان زوجها يؤدِّب أهله، ولا يؤدبونه، وفي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رد على أبيها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>:</w:t>
      </w:r>
    </w:p>
    <w:tbl>
      <w:tblPr>
        <w:tblStyle w:val="a4"/>
        <w:bidiVisual/>
        <w:tblW w:w="0" w:type="auto"/>
        <w:jc w:val="center"/>
        <w:tblInd w:w="-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25"/>
      </w:tblGrid>
      <w:tr w:rsidR="004A4D2E" w:rsidRPr="004A4D2E" w:rsidTr="005F3475">
        <w:trPr>
          <w:trHeight w:hRule="exact" w:val="510"/>
          <w:jc w:val="center"/>
        </w:trPr>
        <w:tc>
          <w:tcPr>
            <w:tcW w:w="2725" w:type="dxa"/>
            <w:shd w:val="clear" w:color="auto" w:fill="auto"/>
            <w:vAlign w:val="center"/>
          </w:tcPr>
          <w:p w:rsidR="004A4D2E" w:rsidRPr="004A4D2E" w:rsidRDefault="004A4D2E" w:rsidP="004A4D2E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A4D2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إني سآخذه بأدب البعل</w:t>
            </w:r>
            <w:r w:rsidRPr="004A4D2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br/>
            </w:r>
          </w:p>
        </w:tc>
      </w:tr>
    </w:tbl>
    <w:p w:rsidR="004A4D2E" w:rsidRPr="004A4D2E" w:rsidRDefault="004A4D2E" w:rsidP="004A4D2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وفي صدر الإسلام، استخدم العرب كلمة الأدب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بمعنى الثقافة، والتعليم، </w:t>
      </w:r>
      <w:r w:rsidRPr="004A4D2E">
        <w:rPr>
          <w:rFonts w:asciiTheme="majorBidi" w:hAnsiTheme="majorBidi" w:cstheme="majorBidi"/>
          <w:b/>
          <w:bCs/>
          <w:spacing w:val="-4"/>
          <w:sz w:val="18"/>
          <w:szCs w:val="18"/>
          <w:rtl/>
          <w:lang w:bidi="ar-EG"/>
        </w:rPr>
        <w:t xml:space="preserve">والتثقيف، ويحمل هذا المعنى ما روي عن رسول الله </w:t>
      </w:r>
      <w:r w:rsidRPr="004A4D2E">
        <w:rPr>
          <w:rFonts w:asciiTheme="majorBidi" w:hAnsiTheme="majorBidi" w:cstheme="majorBidi"/>
          <w:b/>
          <w:bCs/>
          <w:spacing w:val="-4"/>
          <w:position w:val="-4"/>
          <w:sz w:val="18"/>
          <w:szCs w:val="18"/>
          <w:lang w:bidi="ar-EG"/>
        </w:rPr>
        <w:t></w:t>
      </w:r>
      <w:r w:rsidRPr="004A4D2E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: </w:t>
      </w:r>
      <w:r w:rsidRPr="004A4D2E">
        <w:rPr>
          <w:rFonts w:asciiTheme="majorBidi" w:hAnsiTheme="majorBidi" w:cstheme="majorBidi"/>
          <w:b/>
          <w:bCs/>
          <w:color w:val="0000FF"/>
          <w:spacing w:val="-4"/>
          <w:sz w:val="18"/>
          <w:szCs w:val="18"/>
          <w:rtl/>
        </w:rPr>
        <w:t>((</w:t>
      </w:r>
      <w:r w:rsidRPr="004A4D2E">
        <w:rPr>
          <w:rFonts w:asciiTheme="majorBidi" w:hAnsiTheme="majorBidi" w:cstheme="majorBidi"/>
          <w:b/>
          <w:bCs/>
          <w:color w:val="0000FF"/>
          <w:spacing w:val="-4"/>
          <w:sz w:val="18"/>
          <w:szCs w:val="18"/>
          <w:rtl/>
          <w:lang w:bidi="ar-EG"/>
        </w:rPr>
        <w:t>أدبني ربي فأحسن تأديبي</w:t>
      </w:r>
      <w:r w:rsidRPr="004A4D2E">
        <w:rPr>
          <w:rFonts w:asciiTheme="majorBidi" w:hAnsiTheme="majorBidi" w:cstheme="majorBidi"/>
          <w:b/>
          <w:bCs/>
          <w:color w:val="0000FF"/>
          <w:spacing w:val="-4"/>
          <w:sz w:val="18"/>
          <w:szCs w:val="18"/>
          <w:rtl/>
        </w:rPr>
        <w:t>))</w:t>
      </w:r>
      <w:r w:rsidRPr="004A4D2E">
        <w:rPr>
          <w:rFonts w:asciiTheme="majorBidi" w:hAnsiTheme="majorBidi" w:cstheme="majorBidi"/>
          <w:b/>
          <w:bCs/>
          <w:spacing w:val="-4"/>
          <w:sz w:val="18"/>
          <w:szCs w:val="18"/>
          <w:rtl/>
          <w:lang w:bidi="ar-EG"/>
        </w:rPr>
        <w:t>،</w:t>
      </w:r>
      <w:r w:rsidRPr="004A4D2E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pacing w:val="-4"/>
          <w:sz w:val="18"/>
          <w:szCs w:val="18"/>
          <w:rtl/>
          <w:lang w:bidi="ar-EG"/>
        </w:rPr>
        <w:t>و</w:t>
      </w:r>
      <w:r w:rsidRPr="004A4D2E">
        <w:rPr>
          <w:rFonts w:asciiTheme="majorBidi" w:hAnsiTheme="majorBidi" w:cstheme="majorBidi"/>
          <w:b/>
          <w:bCs/>
          <w:color w:val="0000FF"/>
          <w:spacing w:val="-4"/>
          <w:sz w:val="18"/>
          <w:szCs w:val="18"/>
          <w:rtl/>
        </w:rPr>
        <w:t>((</w:t>
      </w:r>
      <w:r w:rsidRPr="004A4D2E">
        <w:rPr>
          <w:rFonts w:asciiTheme="majorBidi" w:hAnsiTheme="majorBidi" w:cstheme="majorBidi"/>
          <w:b/>
          <w:bCs/>
          <w:color w:val="0000FF"/>
          <w:spacing w:val="-4"/>
          <w:sz w:val="18"/>
          <w:szCs w:val="18"/>
          <w:rtl/>
          <w:lang w:bidi="ar-EG"/>
        </w:rPr>
        <w:t>ربيت في بني سعد</w:t>
      </w:r>
      <w:r w:rsidRPr="004A4D2E">
        <w:rPr>
          <w:rFonts w:asciiTheme="majorBidi" w:hAnsiTheme="majorBidi" w:cstheme="majorBidi"/>
          <w:b/>
          <w:bCs/>
          <w:color w:val="0000FF"/>
          <w:spacing w:val="-4"/>
          <w:sz w:val="18"/>
          <w:szCs w:val="18"/>
          <w:rtl/>
        </w:rPr>
        <w:t>))</w:t>
      </w:r>
      <w:r w:rsidRPr="004A4D2E">
        <w:rPr>
          <w:rFonts w:asciiTheme="majorBidi" w:hAnsiTheme="majorBidi" w:cstheme="majorBidi"/>
          <w:b/>
          <w:bCs/>
          <w:spacing w:val="-4"/>
          <w:sz w:val="18"/>
          <w:szCs w:val="18"/>
          <w:rtl/>
          <w:lang w:bidi="ar-EG"/>
        </w:rPr>
        <w:t>، وذلك حيث قال له</w:t>
      </w:r>
      <w:r w:rsidRPr="004A4D2E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pacing w:val="-4"/>
          <w:sz w:val="18"/>
          <w:szCs w:val="18"/>
          <w:rtl/>
          <w:lang w:bidi="ar-EG"/>
        </w:rPr>
        <w:t xml:space="preserve">علي بن أبي طالب </w:t>
      </w:r>
      <w:r w:rsidRPr="004A4D2E">
        <w:rPr>
          <w:rFonts w:asciiTheme="majorBidi" w:hAnsiTheme="majorBidi" w:cstheme="majorBidi"/>
          <w:b/>
          <w:bCs/>
          <w:spacing w:val="-4"/>
          <w:position w:val="-4"/>
          <w:sz w:val="18"/>
          <w:szCs w:val="18"/>
          <w:rtl/>
        </w:rPr>
        <w:t>&gt;</w:t>
      </w:r>
      <w:r w:rsidRPr="004A4D2E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: "</w:t>
      </w:r>
      <w:r w:rsidRPr="004A4D2E">
        <w:rPr>
          <w:rFonts w:asciiTheme="majorBidi" w:hAnsiTheme="majorBidi" w:cstheme="majorBidi"/>
          <w:b/>
          <w:bCs/>
          <w:spacing w:val="-4"/>
          <w:sz w:val="18"/>
          <w:szCs w:val="18"/>
          <w:rtl/>
          <w:lang w:bidi="ar-EG"/>
        </w:rPr>
        <w:t>يا رسول الله نحن بني أب واحد، ونراك تكلم العرب</w:t>
      </w:r>
      <w:r w:rsidRPr="004A4D2E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pacing w:val="-4"/>
          <w:sz w:val="18"/>
          <w:szCs w:val="18"/>
          <w:rtl/>
          <w:lang w:bidi="ar-EG"/>
        </w:rPr>
        <w:t>بما لا نفهم أكثره</w:t>
      </w:r>
      <w:r w:rsidRPr="004A4D2E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"</w:t>
      </w:r>
      <w:r w:rsidRPr="004A4D2E">
        <w:rPr>
          <w:rFonts w:asciiTheme="majorBidi" w:hAnsiTheme="majorBidi" w:cstheme="majorBidi"/>
          <w:b/>
          <w:bCs/>
          <w:spacing w:val="-4"/>
          <w:sz w:val="18"/>
          <w:szCs w:val="18"/>
          <w:rtl/>
          <w:lang w:bidi="ar-EG"/>
        </w:rPr>
        <w:t xml:space="preserve">، من هنا لا يمكن أن نفسر حديث رسول الله </w:t>
      </w:r>
      <w:r w:rsidRPr="004A4D2E">
        <w:rPr>
          <w:rFonts w:asciiTheme="majorBidi" w:hAnsiTheme="majorBidi" w:cstheme="majorBidi"/>
          <w:b/>
          <w:bCs/>
          <w:spacing w:val="-4"/>
          <w:position w:val="-4"/>
          <w:sz w:val="18"/>
          <w:szCs w:val="18"/>
          <w:lang w:bidi="ar-EG"/>
        </w:rPr>
        <w:t></w:t>
      </w:r>
      <w:r w:rsidRPr="004A4D2E">
        <w:rPr>
          <w:rFonts w:asciiTheme="majorBidi" w:hAnsiTheme="majorBidi" w:cstheme="majorBidi"/>
          <w:b/>
          <w:bCs/>
          <w:spacing w:val="-4"/>
          <w:sz w:val="18"/>
          <w:szCs w:val="18"/>
          <w:rtl/>
          <w:lang w:bidi="ar-EG"/>
        </w:rPr>
        <w:t xml:space="preserve"> إلَّا بعد التأدب الذي يعني التثقيف، والتعليم، وممارسة الدرس، والبحث البلاغي،</w:t>
      </w:r>
      <w:r w:rsidRPr="004A4D2E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pacing w:val="-4"/>
          <w:sz w:val="18"/>
          <w:szCs w:val="18"/>
          <w:rtl/>
          <w:lang w:bidi="ar-EG"/>
        </w:rPr>
        <w:t>والوقوف على مسائله، وعلى أبوابه</w:t>
      </w:r>
      <w:r w:rsidRPr="004A4D2E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.</w:t>
      </w:r>
    </w:p>
    <w:p w:rsidR="004A4D2E" w:rsidRPr="004A4D2E" w:rsidRDefault="004A4D2E" w:rsidP="004A4D2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وفي العصر الأموي صارت كلمة أدب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،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تعني نوعًا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خاصًّا من الثقافة، وهو ذلك الذي يدور حول الشعر والأخبار، والأنساب، ثم تطور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معناها في القرن الثالث الهجري، فأصبحت تعني معرفة المأثور من الشعر والنثر، وما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يتصل بهما من فنون، وعلومٍ، تشرح ما فيها، أو توضح مواطن الجمال فيها، وهذه النظرة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الواسعة لم تدم طويلًا، فقد ضاق معناها واقتصر على فني المنظوم والمنثور، وما يرتبط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بهما من الأخبار والأنساب، وهذا المعنى الذي عُرف به في العصر الأموي، والذي نعرفه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للأدب في عصرنا الحديث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4A4D2E" w:rsidRPr="004A4D2E" w:rsidRDefault="004A4D2E" w:rsidP="004A4D2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من هذه اللمحة الخاطفة لمعنى الأدب، نرى أن علوم البلاغة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الثلاثة تدخل في معناه، في كثير من مراحله، ولكن بعد أن استقلت البلاغة بعلومها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الثلاثة، وأصبحت علمًا مستقلًّا، قائمًا برأسه، واقتصر الأدب على فني المنظوم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والمنثور، فما صلة البلاغة بالأدب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؟ </w:t>
      </w:r>
    </w:p>
    <w:p w:rsidR="004A4D2E" w:rsidRPr="004A4D2E" w:rsidRDefault="004A4D2E" w:rsidP="004A4D2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أقول: إن الأدب بهذا المعنى المحدد، له رسالته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التي تميزه عن سائر العلوم والمعارف الأخرى، فرسالة الأدب تتلخص في بعث السرور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في النفس، وهز القلوب والوجدان؛ بينما رسالة العلوم الأخرى تتحدد في إلقاء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المعلومات المجردة، دون نظر إلى إثارة القلوب، وتهييج المشاعر، وإذا كان من أهداف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الأدب الإقناع، وإقامة الحجة؛ فإن هذه الحجة، وهذا الإقناع لا يكونان عن طريق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القياس والمنطق، ولكن عن طريق التلطف في الكلام، ومعرفة أسراره البلاغية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4A4D2E" w:rsidRPr="004A4D2E" w:rsidRDefault="004A4D2E" w:rsidP="004A4D2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ولعل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السر في أن الإقناع يعتمد على البلاغة، أن ضروب المعرفة تعتمد على العقل المجرد،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وتثبت بالدليل القاطع، ولكن الإثبات ليس معناه الإقناع؛ فإن الإقناع لا يكون بغير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السيطرة على النفس، والسيطرة على النفس لا تتم بغير البلاغة؛ لأن البلاغة تسيطر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على الفكر والوجدان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4A4D2E" w:rsidRPr="004A4D2E" w:rsidRDefault="004A4D2E" w:rsidP="004A4D2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فالبلاغة بما فيها من قواعد، ومسائل، تُعد المقوم الأساسي الذي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يقوم عليه الأدب بما حوى من جمال وروعة، سواء بما يتصل باللفظ واختياره، أو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الأسلوب وطرق تراكيبه، أو المعنى ومواءمته للَّفظ الذي يحمله، كذلك فإن القواعد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البلاغية ضرورية للأديب، وعليه أن يتذوقها حتى يستطيع أن ينتج أدبًا رفيعًا؛ إذ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إن هذه القواعد، هي المنهج الذي يهتدي به الأديب فيما يصوغه من أدب، وسوف يتضح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هذا بصورة أكثر وضوحًا عند تعرضنا لفوائد دراسة علم البلاغة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4A4D2E" w:rsidRPr="004A4D2E" w:rsidRDefault="004A4D2E" w:rsidP="004A4D2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وما قيل عن البلاغة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وصلتها بالأدب، يقال مثله عن النقد الأدبي وصلته بالبلاغة، ذلك أن العرب لم تكن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تعرف مصطلح النقد الأدبي إلَّا في القرن الثالث الهجري،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lastRenderedPageBreak/>
        <w:t>كأثر من آثار امتزاج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العقلية العربية بالثقافات والحضارات الأجنبية، ومنذ هذا التاريخ أخذ الناس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يستعملون هذا التعبير، وأصبحنا نسمع نقد الشعر وانتقاده، ونقد الشعر ونقد الكلام،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ويجدر بنا أن نفرق بين نوعين من النقد الأدبي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: </w:t>
      </w:r>
    </w:p>
    <w:p w:rsidR="004A4D2E" w:rsidRPr="004A4D2E" w:rsidRDefault="004A4D2E" w:rsidP="004A4D2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4A4D2E">
        <w:rPr>
          <w:rFonts w:asciiTheme="majorBidi" w:hAnsiTheme="majorBidi" w:cstheme="majorBidi"/>
          <w:b/>
          <w:bCs/>
          <w:color w:val="000080"/>
          <w:sz w:val="18"/>
          <w:szCs w:val="18"/>
          <w:rtl/>
          <w:lang w:bidi="ar-EG"/>
        </w:rPr>
        <w:t>أولهما: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النقد النظري: وهو ذلك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النوع الذي يعرض لدراسة الشعراء، وتاريخهم، ويهتم بوضع التعريفات، أو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التحديدات للشعر، أو النقد، أو البلاغة، أو الفصاحة، أو للذوق الأدبي، كما يهتم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بالموضوعات النظرية، مثل: التكلف، والطبع، ومذهب الطبع، ومذهب البديع، أو الصنعة، أو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غير ذلك من مسائل تتصل بالنظرية الأدبية، أو ببعض الخصائص التي تميز الأدب عن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غيره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4A4D2E" w:rsidRPr="004A4D2E" w:rsidRDefault="004A4D2E" w:rsidP="004A4D2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4A4D2E">
        <w:rPr>
          <w:rFonts w:asciiTheme="majorBidi" w:hAnsiTheme="majorBidi" w:cstheme="majorBidi"/>
          <w:b/>
          <w:bCs/>
          <w:color w:val="000080"/>
          <w:sz w:val="18"/>
          <w:szCs w:val="18"/>
          <w:rtl/>
          <w:lang w:bidi="ar-EG"/>
        </w:rPr>
        <w:t>ثانيهما: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النقد التحليلي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: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وهو الذي يتصدى لعملية الخلق في الإنتاج، فيوضح ماهيتها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،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ويفسر لنا قيمتها، ثم يعرض للغايات التي من أجلها وُجد هذا الإنتاج، ولا تقتصر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مهمة النقد التحليلي على هذه النواحي فقط، بل إن وظيفته أيضًا هي بيان مواطن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النقص أو الضعف في العمل الأدبي، والإشادة بمواطن الحسن والقوة فيه، ولا يهمه في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هذا المضمار، الإتيان بالتعاريف والمفاهيم، فهذه لا توضح الإنتاج موضوع الدراسة في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قليل ولا كثير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4A4D2E" w:rsidRPr="004A4D2E" w:rsidRDefault="004A4D2E" w:rsidP="004A4D2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وإذا رجعنا إلى تاريخ البلاغة التي سبق إلقاء الضوء عليها؛ وجدنا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ارتباط البلاغة والنقد الأدبي، وامتزاجهما في العصور المتقدمة، نجد صورة هذا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الاختلاط، والامتزاج، في كتب الجاحظ، وفي كتاب: (الصناعتين)، لأبي هلال، وفي: (طبقات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الشعراء)، لابن سلام، وغيرهما من الكتب والمؤلفات التي سبق الإشارة إليها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4A4D2E" w:rsidRPr="004A4D2E" w:rsidRDefault="004A4D2E" w:rsidP="004A4D2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ولقد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تحول النقد الأدبي في فترة من الفترات إلى دراسة بلاغية، وأصبح هم الناقد الأدبي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،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يتجه إلى ما في العمل الأدبي من مطابقة لمقتضى الحال الذي أصبح موضوعًا لعلم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المعاني، أو مدى ما فيه من وضوح الصور واسعة الخيال، وعكس ذلك مما هو موضوع علم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البيان، ومدى ما فيه من حلي وزينة وزخرفة مما يختص به علم البديع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. </w:t>
      </w:r>
    </w:p>
    <w:p w:rsidR="004A4D2E" w:rsidRPr="004A4D2E" w:rsidRDefault="004A4D2E" w:rsidP="004A4D2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المراجع والمصادر</w:t>
      </w:r>
    </w:p>
    <w:p w:rsidR="004A4D2E" w:rsidRPr="004A4D2E" w:rsidRDefault="004A4D2E" w:rsidP="004A4D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القزويني ، زكريا بن محمد القزويني تحقيق: محمد السعدي فرهود ، (الإيضاح في علوم البلاغة)  ، طبعة رقم1، سنة النشر: 2001 م</w:t>
      </w:r>
    </w:p>
    <w:p w:rsidR="004A4D2E" w:rsidRPr="004A4D2E" w:rsidRDefault="004A4D2E" w:rsidP="004A4D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الجرجاني، عبد القاهر الجرجاني، قرأه وعلق عليه محمود محمد شاكر،  (دلائل الاعجاز)  ، ط5، مكتبة الخانجي، 2004م.  </w:t>
      </w:r>
    </w:p>
    <w:p w:rsidR="004A4D2E" w:rsidRPr="004A4D2E" w:rsidRDefault="004A4D2E" w:rsidP="004A4D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أبو موسى، د. محمد محمد أبو موسى،   (دلالات التراكيب دراسة بلاغية) ، القاهرة، مكتبة وهبة للطباعة والنشر والتوزيع، 1987م</w:t>
      </w:r>
    </w:p>
    <w:p w:rsidR="004A4D2E" w:rsidRPr="004A4D2E" w:rsidRDefault="004A4D2E" w:rsidP="004A4D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المراغي، أحمد مصطفى المراغي،  (تاريخ علوم البلاغة و التعريف برجالها) ، القاهرة، مكتبة و مطبعة مصطفى البابي، ط1، 1950م</w:t>
      </w:r>
    </w:p>
    <w:p w:rsidR="004A4D2E" w:rsidRPr="004A4D2E" w:rsidRDefault="004A4D2E" w:rsidP="004A4D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فيود ، د. بسيوني عبد الفتاح فيود ، (علم البيان: دراسة تحليلية لمسائل البيان) ، القاهرة، مؤسسة المختار ، دار المعالم الثقافية، الإحساء ، ط 2،  1998 م </w:t>
      </w:r>
    </w:p>
    <w:p w:rsidR="004A4D2E" w:rsidRPr="004A4D2E" w:rsidRDefault="004A4D2E" w:rsidP="004A4D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الخوارزمي ، الشيخ يوسف بن أبي بكر بن محمد بن علي الخوارزمي الملقب بسراج الدين</w:t>
      </w:r>
      <w:r w:rsidRPr="004A4D2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السكاكي، (مفتاح العلوم)   ، لبنان، مكتبة المقهى، نشر دار الكتب العلمية، الطبعة الثانية ، 1987م </w:t>
      </w:r>
    </w:p>
    <w:p w:rsidR="004A4D2E" w:rsidRPr="004A4D2E" w:rsidRDefault="004A4D2E" w:rsidP="004A4D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الشاطئ، عائشة بنت الشاطئ،  (التفسير البياني) ، مكتبة المجلس، الطبعة الأولى، 1962م</w:t>
      </w:r>
    </w:p>
    <w:p w:rsidR="004A4D2E" w:rsidRPr="004A4D2E" w:rsidRDefault="004A4D2E" w:rsidP="004A4D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فيود، د. بسيوني عبد الفتاح فيود،  (علم البديع: دراسة تاريخية وفنية لأصول البلاغة ومسائل البديع) ،القاهرة، مؤسسة المختار، 2004</w:t>
      </w:r>
    </w:p>
    <w:p w:rsidR="004A4D2E" w:rsidRPr="004A4D2E" w:rsidRDefault="004A4D2E" w:rsidP="004A4D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الصعيدي، عبد المتعال الصعيدي،  (البغية على  الإيضاح لتلخيص المفتاح في علوم البلاغة) ،مكتبة الآداب،  1999م</w:t>
      </w:r>
    </w:p>
    <w:p w:rsidR="004A4D2E" w:rsidRPr="004A4D2E" w:rsidRDefault="004A4D2E" w:rsidP="004A4D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شاهين، كامل السيد شاهين،  (اللباب في العروض و القافية) ،القاهرة، </w:t>
      </w: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lastRenderedPageBreak/>
        <w:t>الهيئة العامة لشئون الأميرية، 1978م</w:t>
      </w:r>
    </w:p>
    <w:p w:rsidR="004A4D2E" w:rsidRPr="004A4D2E" w:rsidRDefault="004A4D2E" w:rsidP="004A4D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القيرواني، ابن رشيق القيرواني،  (العمدة في محاسن الشعر وآدابه) ،الناشر: دار الكتب العلمية، 2001م</w:t>
      </w:r>
    </w:p>
    <w:p w:rsidR="004A4D2E" w:rsidRPr="004A4D2E" w:rsidRDefault="004A4D2E" w:rsidP="004A4D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4A4D2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lastRenderedPageBreak/>
        <w:t>أبو موسى، د. محمد محمد أبو موسى،  (التصوير البياني) ،القاهرة، مكتبة وهبة للطباعة والنشر والتوزيع، 1997م</w:t>
      </w:r>
    </w:p>
    <w:p w:rsidR="004A4D2E" w:rsidRDefault="004A4D2E" w:rsidP="004A4D2E">
      <w:pPr>
        <w:pStyle w:val="a3"/>
        <w:bidi/>
        <w:spacing w:before="0" w:beforeAutospacing="0" w:after="120" w:afterAutospacing="0" w:line="500" w:lineRule="exac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  <w:sectPr w:rsidR="004A4D2E" w:rsidSect="004A4D2E">
          <w:type w:val="continuous"/>
          <w:pgSz w:w="11906" w:h="16838"/>
          <w:pgMar w:top="964" w:right="1021" w:bottom="964" w:left="1021" w:header="709" w:footer="709" w:gutter="0"/>
          <w:cols w:num="2" w:space="708"/>
          <w:bidi/>
          <w:rtlGutter/>
          <w:docGrid w:linePitch="360"/>
        </w:sectPr>
      </w:pPr>
    </w:p>
    <w:p w:rsidR="004A4D2E" w:rsidRPr="001D6929" w:rsidRDefault="004A4D2E" w:rsidP="004A4D2E">
      <w:pPr>
        <w:pStyle w:val="a3"/>
        <w:bidi/>
        <w:spacing w:before="0" w:beforeAutospacing="0" w:after="120" w:afterAutospacing="0" w:line="500" w:lineRule="exac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4A4D2E" w:rsidRPr="001D6929" w:rsidRDefault="004A4D2E" w:rsidP="004A4D2E">
      <w:pPr>
        <w:spacing w:after="120" w:line="520" w:lineRule="exact"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4A4D2E" w:rsidRPr="001D6929" w:rsidRDefault="004A4D2E" w:rsidP="004A4D2E">
      <w:pPr>
        <w:spacing w:after="120" w:line="520" w:lineRule="exact"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4A4D2E" w:rsidRPr="004A4D2E" w:rsidRDefault="004A4D2E" w:rsidP="004A4D2E">
      <w:pPr>
        <w:rPr>
          <w:i/>
          <w:iCs/>
          <w:lang w:bidi="ar-EG"/>
        </w:rPr>
      </w:pPr>
    </w:p>
    <w:sectPr w:rsidR="004A4D2E" w:rsidRPr="004A4D2E" w:rsidSect="004A4D2E">
      <w:type w:val="continuous"/>
      <w:pgSz w:w="11906" w:h="16838"/>
      <w:pgMar w:top="964" w:right="1021" w:bottom="96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698"/>
    <w:multiLevelType w:val="hybridMultilevel"/>
    <w:tmpl w:val="44A03C68"/>
    <w:lvl w:ilvl="0" w:tplc="2BEA30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63C10"/>
    <w:multiLevelType w:val="hybridMultilevel"/>
    <w:tmpl w:val="F864D54C"/>
    <w:lvl w:ilvl="0" w:tplc="BCDCC49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4D2E"/>
    <w:rsid w:val="00317575"/>
    <w:rsid w:val="004A4D2E"/>
    <w:rsid w:val="00514443"/>
    <w:rsid w:val="00882368"/>
    <w:rsid w:val="009556CB"/>
    <w:rsid w:val="00A56FB2"/>
    <w:rsid w:val="00BF7572"/>
    <w:rsid w:val="00ED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4D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A4D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4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mohmed 2</dc:creator>
  <cp:lastModifiedBy>A</cp:lastModifiedBy>
  <cp:revision>3</cp:revision>
  <dcterms:created xsi:type="dcterms:W3CDTF">2013-06-13T19:33:00Z</dcterms:created>
  <dcterms:modified xsi:type="dcterms:W3CDTF">2013-06-17T08:40:00Z</dcterms:modified>
</cp:coreProperties>
</file>