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A8" w:rsidRPr="00434085" w:rsidRDefault="00F642A8" w:rsidP="00E42849">
      <w:pPr>
        <w:jc w:val="center"/>
        <w:rPr>
          <w:rFonts w:ascii="Times New Roman" w:hAnsi="Times New Roman" w:cs="Times New Roman"/>
          <w:sz w:val="48"/>
          <w:szCs w:val="48"/>
          <w:rtl/>
        </w:rPr>
      </w:pPr>
      <w:r w:rsidRPr="00434085">
        <w:rPr>
          <w:rFonts w:ascii="Times New Roman" w:hAnsi="Times New Roman" w:cs="Times New Roman"/>
          <w:spacing w:val="-8"/>
          <w:sz w:val="48"/>
          <w:szCs w:val="48"/>
          <w:rtl/>
        </w:rPr>
        <w:t>تعريف التخريج اصطلاحًا</w:t>
      </w:r>
    </w:p>
    <w:p w:rsidR="00F642A8" w:rsidRPr="00434085" w:rsidRDefault="00F642A8" w:rsidP="00E42849">
      <w:pPr>
        <w:spacing w:line="500" w:lineRule="exact"/>
        <w:jc w:val="center"/>
        <w:rPr>
          <w:rFonts w:ascii="Times New Roman" w:hAnsi="Times New Roman" w:cs="Times New Roman"/>
          <w:sz w:val="18"/>
          <w:szCs w:val="18"/>
          <w:rtl/>
          <w:lang w:bidi="ar-EG"/>
        </w:rPr>
      </w:pPr>
      <w:r w:rsidRPr="00434085">
        <w:rPr>
          <w:rFonts w:ascii="Times New Roman" w:hAnsi="Times New Roman" w:cs="Times New Roman"/>
          <w:sz w:val="18"/>
          <w:szCs w:val="18"/>
          <w:rtl/>
        </w:rPr>
        <w:t xml:space="preserve">مبحث فى </w:t>
      </w:r>
      <w:r w:rsidRPr="00434085">
        <w:rPr>
          <w:rFonts w:ascii="Times New Roman" w:hAnsi="Times New Roman" w:cs="Times New Roman"/>
          <w:sz w:val="18"/>
          <w:szCs w:val="18"/>
          <w:rtl/>
          <w:lang w:bidi="ar-EG"/>
        </w:rPr>
        <w:t>دراسات فى علوم السنة</w:t>
      </w:r>
    </w:p>
    <w:p w:rsidR="001D64EB" w:rsidRPr="001D64EB" w:rsidRDefault="001D64EB" w:rsidP="001D64EB">
      <w:pPr>
        <w:jc w:val="center"/>
        <w:rPr>
          <w:rFonts w:ascii="Times New Roman" w:hAnsi="Times New Roman" w:cs="Times New Roman" w:hint="cs"/>
          <w:sz w:val="18"/>
          <w:szCs w:val="18"/>
          <w:rtl/>
          <w:lang w:bidi="ar-EG"/>
        </w:rPr>
      </w:pPr>
      <w:r w:rsidRPr="001D64EB">
        <w:rPr>
          <w:rFonts w:ascii="Times New Roman" w:hAnsi="Times New Roman" w:cs="Times New Roman"/>
          <w:b/>
          <w:bCs/>
          <w:sz w:val="18"/>
          <w:szCs w:val="18"/>
          <w:rtl/>
        </w:rPr>
        <w:t xml:space="preserve">إعداد / </w:t>
      </w:r>
      <w:r w:rsidRPr="001D64EB">
        <w:rPr>
          <w:rFonts w:ascii="Times New Roman" w:eastAsia="Times New Roman" w:hAnsi="Times New Roman" w:cs="Times New Roman"/>
          <w:b/>
          <w:bCs/>
          <w:color w:val="000000"/>
          <w:sz w:val="18"/>
          <w:szCs w:val="18"/>
          <w:rtl/>
        </w:rPr>
        <w:t>محمد كمال الإمام زميتر</w:t>
      </w:r>
    </w:p>
    <w:p w:rsidR="001D64EB" w:rsidRPr="009B0961" w:rsidRDefault="001D64EB" w:rsidP="001D64EB">
      <w:pPr>
        <w:pStyle w:val="Affiliation"/>
        <w:bidi/>
        <w:rPr>
          <w:rFonts w:eastAsia="Times New Roman"/>
        </w:rPr>
      </w:pPr>
      <w:r w:rsidRPr="009B0961">
        <w:rPr>
          <w:rtl/>
        </w:rPr>
        <w:t>قسم الدعوة وأصول الدين</w:t>
      </w:r>
    </w:p>
    <w:p w:rsidR="001D64EB" w:rsidRPr="009B0961" w:rsidRDefault="001D64EB" w:rsidP="001D64EB">
      <w:pPr>
        <w:pStyle w:val="Affiliation"/>
        <w:bidi/>
      </w:pPr>
      <w:r w:rsidRPr="009B0961">
        <w:rPr>
          <w:rtl/>
        </w:rPr>
        <w:t>كلية العلوم الإسلامية – جامعة المدينة العالمية</w:t>
      </w:r>
    </w:p>
    <w:p w:rsidR="001D64EB" w:rsidRPr="001D64EB" w:rsidRDefault="001D64EB" w:rsidP="001D64EB">
      <w:pPr>
        <w:spacing w:line="240" w:lineRule="auto"/>
        <w:jc w:val="center"/>
        <w:rPr>
          <w:rFonts w:ascii="Times New Roman" w:hAnsi="Times New Roman" w:cs="Times New Roman"/>
          <w:b/>
          <w:bCs/>
          <w:sz w:val="18"/>
          <w:szCs w:val="18"/>
          <w:rtl/>
          <w:lang w:bidi="ar-EG"/>
        </w:rPr>
      </w:pPr>
      <w:r w:rsidRPr="009B0961">
        <w:rPr>
          <w:rtl/>
        </w:rPr>
        <w:t>شاه علم - ماليزيا</w:t>
      </w:r>
    </w:p>
    <w:p w:rsidR="001D64EB" w:rsidRDefault="001D64EB" w:rsidP="001D64EB">
      <w:pPr>
        <w:pStyle w:val="NormalWeb"/>
        <w:jc w:val="center"/>
        <w:rPr>
          <w:rFonts w:hint="cs"/>
          <w:rtl/>
        </w:rPr>
      </w:pPr>
      <w:hyperlink r:id="rId6" w:history="1">
        <w:r w:rsidRPr="001D64EB">
          <w:rPr>
            <w:rStyle w:val="Hyperlink"/>
            <w:sz w:val="18"/>
            <w:szCs w:val="18"/>
          </w:rPr>
          <w:t>mohamed.zemater@mediu.ws</w:t>
        </w:r>
      </w:hyperlink>
    </w:p>
    <w:p w:rsidR="00F642A8" w:rsidRPr="00434085" w:rsidRDefault="00F642A8" w:rsidP="001D64EB">
      <w:pPr>
        <w:pStyle w:val="NormalWeb"/>
        <w:jc w:val="center"/>
        <w:rPr>
          <w:b/>
          <w:bCs/>
          <w:sz w:val="18"/>
          <w:szCs w:val="18"/>
          <w:rtl/>
        </w:rPr>
        <w:sectPr w:rsidR="00F642A8" w:rsidRPr="00434085" w:rsidSect="00D60765">
          <w:pgSz w:w="11906" w:h="16838"/>
          <w:pgMar w:top="1440" w:right="1440" w:bottom="1440" w:left="1440" w:header="720" w:footer="720" w:gutter="0"/>
          <w:cols w:space="720"/>
          <w:bidi/>
          <w:rtlGutter/>
          <w:docGrid w:linePitch="360"/>
        </w:sectPr>
      </w:pPr>
      <w:bookmarkStart w:id="0" w:name="_GoBack"/>
      <w:bookmarkEnd w:id="0"/>
      <w:r w:rsidRPr="00434085">
        <w:br/>
      </w:r>
    </w:p>
    <w:p w:rsidR="00F642A8" w:rsidRPr="00434085" w:rsidRDefault="00F642A8" w:rsidP="00E42849">
      <w:pPr>
        <w:pStyle w:val="NormalWeb"/>
        <w:jc w:val="right"/>
        <w:rPr>
          <w:b/>
          <w:bCs/>
          <w:sz w:val="18"/>
          <w:szCs w:val="18"/>
          <w:lang w:bidi="ar-EG"/>
        </w:rPr>
      </w:pPr>
      <w:r w:rsidRPr="00434085">
        <w:rPr>
          <w:b/>
          <w:bCs/>
          <w:sz w:val="18"/>
          <w:szCs w:val="18"/>
          <w:rtl/>
        </w:rPr>
        <w:lastRenderedPageBreak/>
        <w:t xml:space="preserve">الخلاصة – هذا البحث يبحث فى </w:t>
      </w:r>
      <w:r w:rsidRPr="00434085">
        <w:rPr>
          <w:b/>
          <w:bCs/>
          <w:sz w:val="18"/>
          <w:szCs w:val="18"/>
          <w:rtl/>
          <w:lang w:bidi="ar-EG"/>
        </w:rPr>
        <w:t>تعريف التخريج اصطلاحا</w:t>
      </w:r>
      <w:r w:rsidRPr="00434085">
        <w:rPr>
          <w:b/>
          <w:bCs/>
          <w:sz w:val="18"/>
          <w:szCs w:val="18"/>
        </w:rPr>
        <w:br/>
      </w:r>
      <w:r w:rsidRPr="00434085">
        <w:rPr>
          <w:b/>
          <w:bCs/>
          <w:sz w:val="18"/>
          <w:szCs w:val="18"/>
          <w:rtl/>
        </w:rPr>
        <w:t xml:space="preserve">الكلمات المفتاحية – </w:t>
      </w:r>
      <w:r w:rsidRPr="00434085">
        <w:rPr>
          <w:b/>
          <w:bCs/>
          <w:sz w:val="18"/>
          <w:szCs w:val="18"/>
          <w:rtl/>
          <w:lang w:bidi="ar-EG"/>
        </w:rPr>
        <w:t xml:space="preserve"> الدلالة ، الأصلية ، الحاجة</w:t>
      </w:r>
    </w:p>
    <w:p w:rsidR="00F642A8" w:rsidRPr="00434085" w:rsidRDefault="00F642A8" w:rsidP="00E42849">
      <w:pPr>
        <w:pStyle w:val="NormalWeb"/>
        <w:jc w:val="center"/>
        <w:rPr>
          <w:b/>
          <w:bCs/>
          <w:sz w:val="18"/>
          <w:szCs w:val="18"/>
          <w:lang w:bidi="ar-EG"/>
        </w:rPr>
      </w:pPr>
      <w:r w:rsidRPr="00434085">
        <w:rPr>
          <w:b/>
          <w:bCs/>
          <w:sz w:val="18"/>
          <w:szCs w:val="18"/>
          <w:rtl/>
        </w:rPr>
        <w:t>المقدمة</w:t>
      </w:r>
      <w:r w:rsidRPr="00434085">
        <w:rPr>
          <w:b/>
          <w:bCs/>
          <w:sz w:val="18"/>
          <w:szCs w:val="18"/>
          <w:lang w:bidi="ar-EG"/>
        </w:rPr>
        <w:t>.I</w:t>
      </w:r>
    </w:p>
    <w:p w:rsidR="00F642A8" w:rsidRPr="00434085" w:rsidRDefault="00F642A8" w:rsidP="00E42849">
      <w:pPr>
        <w:pStyle w:val="NormalWeb"/>
        <w:jc w:val="right"/>
        <w:rPr>
          <w:b/>
          <w:bCs/>
          <w:sz w:val="18"/>
          <w:szCs w:val="18"/>
          <w:rtl/>
          <w:lang w:bidi="ar-EG"/>
        </w:rPr>
      </w:pPr>
      <w:r w:rsidRPr="00434085">
        <w:rPr>
          <w:b/>
          <w:bCs/>
          <w:sz w:val="18"/>
          <w:szCs w:val="18"/>
        </w:rPr>
        <w:br/>
      </w:r>
      <w:r w:rsidRPr="0043408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34085">
        <w:rPr>
          <w:b/>
          <w:bCs/>
          <w:sz w:val="18"/>
          <w:szCs w:val="18"/>
          <w:rtl/>
          <w:lang w:bidi="ar-EG"/>
        </w:rPr>
        <w:t>تعريف التخريج اصطلاحا</w:t>
      </w:r>
    </w:p>
    <w:p w:rsidR="00F642A8" w:rsidRPr="00434085" w:rsidRDefault="00F642A8" w:rsidP="00E42849">
      <w:pPr>
        <w:pStyle w:val="NormalWeb"/>
        <w:jc w:val="center"/>
        <w:rPr>
          <w:b/>
          <w:bCs/>
          <w:sz w:val="18"/>
          <w:szCs w:val="18"/>
        </w:rPr>
      </w:pPr>
      <w:r w:rsidRPr="00434085">
        <w:rPr>
          <w:b/>
          <w:bCs/>
          <w:sz w:val="18"/>
          <w:szCs w:val="18"/>
        </w:rPr>
        <w:br/>
      </w:r>
      <w:r w:rsidRPr="00434085">
        <w:rPr>
          <w:b/>
          <w:bCs/>
          <w:sz w:val="18"/>
          <w:szCs w:val="18"/>
          <w:rtl/>
        </w:rPr>
        <w:t>.عنوان المقال</w:t>
      </w:r>
      <w:r w:rsidRPr="00434085">
        <w:rPr>
          <w:b/>
          <w:bCs/>
          <w:sz w:val="18"/>
          <w:szCs w:val="18"/>
        </w:rPr>
        <w:t xml:space="preserve"> II</w:t>
      </w:r>
    </w:p>
    <w:p w:rsidR="00F642A8" w:rsidRPr="00434085" w:rsidRDefault="00F642A8" w:rsidP="00E42849">
      <w:pPr>
        <w:pStyle w:val="NormalWeb"/>
        <w:bidi/>
        <w:spacing w:before="0" w:beforeAutospacing="0" w:after="120" w:afterAutospacing="0"/>
        <w:jc w:val="lowKashida"/>
        <w:rPr>
          <w:b/>
          <w:bCs/>
          <w:sz w:val="18"/>
          <w:szCs w:val="18"/>
        </w:rPr>
      </w:pPr>
      <w:r w:rsidRPr="00434085">
        <w:rPr>
          <w:b/>
          <w:bCs/>
          <w:sz w:val="18"/>
          <w:szCs w:val="18"/>
          <w:rtl/>
        </w:rPr>
        <w:t>عرف الدكتور محمود طحان التخريج بقوله: "هو الدلالة على موضع الحديث في مصادره الأصلية التي أخرجته بسنده، ثم بيان مرتبته عند الحاجة". ثم قال في تفسير قوله: "ثم بيان مرتبته عند الحاجة، أي: بيان رتبة الحديث من الصحة والضعف وغيرها إذا دعت الحاجة لذلك، فليس بيان المرتبة إذًا شيئًا أساسيًّا في التخريج، وإنما هو أمر متمم يؤتى به عند الحاجة إليه".</w:t>
      </w:r>
    </w:p>
    <w:p w:rsidR="00F642A8" w:rsidRPr="00434085" w:rsidRDefault="00F642A8" w:rsidP="00E42849">
      <w:pPr>
        <w:pStyle w:val="NormalWeb"/>
        <w:bidi/>
        <w:spacing w:before="0" w:beforeAutospacing="0" w:after="120" w:afterAutospacing="0"/>
        <w:jc w:val="lowKashida"/>
        <w:rPr>
          <w:b/>
          <w:bCs/>
          <w:sz w:val="18"/>
          <w:szCs w:val="18"/>
        </w:rPr>
      </w:pPr>
      <w:r w:rsidRPr="00434085">
        <w:rPr>
          <w:b/>
          <w:bCs/>
          <w:sz w:val="18"/>
          <w:szCs w:val="18"/>
          <w:rtl/>
        </w:rPr>
        <w:t>إلا أن العلامة الدكتور محمد أبو شهبة عرفه بقوله: "عزو الأحاديث إلى من ذكرها في كتابه من الأئمة، وبيان درجتها من الصحة أو الحسن أو الضعف". وعرفه الأستاذ صبحي السمرائي فقال: "هو عزو الحديث إلى مصدره أو إلى مصادره من كتب السنة المشرفة، وتتبع طرقه وأسانيده وحال رجاله وبيان درجته قوة وضعفًا".</w:t>
      </w:r>
    </w:p>
    <w:p w:rsidR="00F642A8" w:rsidRPr="00434085" w:rsidRDefault="00F642A8" w:rsidP="00E42849">
      <w:pPr>
        <w:pStyle w:val="NormalWeb"/>
        <w:bidi/>
        <w:spacing w:before="0" w:beforeAutospacing="0" w:after="120" w:afterAutospacing="0"/>
        <w:jc w:val="lowKashida"/>
        <w:rPr>
          <w:b/>
          <w:bCs/>
          <w:sz w:val="18"/>
          <w:szCs w:val="18"/>
        </w:rPr>
      </w:pPr>
      <w:r w:rsidRPr="00434085">
        <w:rPr>
          <w:b/>
          <w:bCs/>
          <w:sz w:val="18"/>
          <w:szCs w:val="18"/>
          <w:rtl/>
        </w:rPr>
        <w:t>الدكتور أبو شهبة والأستاذ السمرائي أدخلا في التعريف بيان درجة الحديث من حيث الصحة أو الحسن أو الضعف، دون تقييده عند الحاجة كما ذكر الدكتور الطحان، والمطلع على كتب التخريج يرى أن المخرجين يبينون درجة الحديث من حيث القوة والضعف، فمنهم مَن بينه اختصارًا، كما هو الحال في تخريج العراقي لأحاديث (إحياء علوم الدين) للإمام الغزالي، وتخريجه لأحاديث (المنهاج) للبيضاوي، ومنهم مَن يبينه تفصيلًا بعد عرض لأقوال العلماء ومناقشتها، كما هو الحال في تخريج الحافظ الزيلعي لأحاديث (الهداية) للمَرْغيناني، وتخريج الحافظ ابن حجر لأحاديث (شرح الوجيز الكبير) للرافعي.</w:t>
      </w:r>
    </w:p>
    <w:p w:rsidR="00F642A8" w:rsidRPr="00434085" w:rsidRDefault="00F642A8" w:rsidP="00E42849">
      <w:pPr>
        <w:pStyle w:val="NormalWeb"/>
        <w:bidi/>
        <w:spacing w:before="0" w:beforeAutospacing="0" w:after="120" w:afterAutospacing="0"/>
        <w:jc w:val="lowKashida"/>
        <w:rPr>
          <w:b/>
          <w:bCs/>
          <w:sz w:val="18"/>
          <w:szCs w:val="18"/>
        </w:rPr>
      </w:pPr>
      <w:r w:rsidRPr="00434085">
        <w:rPr>
          <w:b/>
          <w:bCs/>
          <w:sz w:val="18"/>
          <w:szCs w:val="18"/>
          <w:rtl/>
        </w:rPr>
        <w:t>وأهمية كتب التخريج تأتي أولًا من بيان حال الأحاديث المخرجة من الصحة والضعف، ويظهر تمكن مؤلف التخريج في الحديث رواية ودراية من بحثه في بيان درجة الحديث من خلال استيفاء الكلام على طرقه والكشف عن علله، والتحقيق في رجاله جرحًا وتعديلًا.</w:t>
      </w:r>
    </w:p>
    <w:p w:rsidR="00F642A8" w:rsidRPr="00434085" w:rsidRDefault="00F642A8" w:rsidP="00E42849">
      <w:pPr>
        <w:pStyle w:val="NormalWeb"/>
        <w:jc w:val="right"/>
        <w:rPr>
          <w:b/>
          <w:bCs/>
          <w:sz w:val="18"/>
          <w:szCs w:val="18"/>
          <w:rtl/>
          <w:lang w:bidi="ar-EG"/>
        </w:rPr>
      </w:pPr>
      <w:r w:rsidRPr="00434085">
        <w:rPr>
          <w:b/>
          <w:bCs/>
          <w:sz w:val="18"/>
          <w:szCs w:val="18"/>
          <w:rtl/>
        </w:rPr>
        <w:t xml:space="preserve">ولذا فإن قول الدكتور الطحان: "ثم بيان مرتبته عند الحاجة" يرده واقع الحال في كتب التخريج التي ذكرت مرتبة الحديث بعد ذكر مخرجيه، إما </w:t>
      </w:r>
      <w:r w:rsidRPr="00434085">
        <w:rPr>
          <w:b/>
          <w:bCs/>
          <w:sz w:val="18"/>
          <w:szCs w:val="18"/>
          <w:rtl/>
        </w:rPr>
        <w:lastRenderedPageBreak/>
        <w:t>نصًّا وإما إشارة، كذكر أحد رواته بالضعف، أو ما يشير إلى قبول الحديث أو إلى رده، وعليه فيمكن القول في تعريف التخريج اصطلاحًا: هو عزو الحديث إلى مصدره أو مصادره الأصلية مع بيان درجته والحكم عليه، والحقيقة أنني لا أريد أن أقول في التعريف: عزو الحديث، وإنما أريد أن أقول: الوقوف على الحديث من مصادره الأصلية سندًا ومتنًا، مع بيان درجته والحكم</w:t>
      </w:r>
      <w:r w:rsidRPr="00434085">
        <w:rPr>
          <w:b/>
          <w:bCs/>
          <w:sz w:val="18"/>
          <w:szCs w:val="18"/>
          <w:rtl/>
          <w:lang w:bidi="ar-EG"/>
        </w:rPr>
        <w:t xml:space="preserve"> عليه .</w:t>
      </w:r>
    </w:p>
    <w:p w:rsidR="00F642A8" w:rsidRDefault="00F642A8" w:rsidP="00095966">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F642A8" w:rsidRDefault="00F642A8" w:rsidP="0009596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F642A8" w:rsidRPr="00434085" w:rsidRDefault="00F642A8" w:rsidP="00E42849">
      <w:pPr>
        <w:pStyle w:val="ListParagraph"/>
        <w:spacing w:after="0" w:line="240" w:lineRule="auto"/>
        <w:ind w:left="646"/>
        <w:jc w:val="lowKashida"/>
        <w:rPr>
          <w:rFonts w:ascii="Times New Roman" w:hAnsi="Times New Roman" w:cs="Times New Roman"/>
          <w:b/>
          <w:bCs/>
          <w:sz w:val="18"/>
          <w:szCs w:val="18"/>
          <w:rtl/>
        </w:rPr>
      </w:pPr>
    </w:p>
    <w:p w:rsidR="00F642A8" w:rsidRPr="00434085" w:rsidRDefault="00F642A8" w:rsidP="00E42849">
      <w:pPr>
        <w:jc w:val="center"/>
        <w:rPr>
          <w:rFonts w:ascii="Times New Roman" w:hAnsi="Times New Roman" w:cs="Times New Roman"/>
          <w:rtl/>
        </w:rPr>
        <w:sectPr w:rsidR="00F642A8" w:rsidRPr="00434085" w:rsidSect="00E42849">
          <w:type w:val="continuous"/>
          <w:pgSz w:w="11906" w:h="16838"/>
          <w:pgMar w:top="1440" w:right="1440" w:bottom="1440" w:left="1440" w:header="720" w:footer="720" w:gutter="0"/>
          <w:cols w:num="2" w:space="720"/>
          <w:bidi/>
          <w:rtlGutter/>
          <w:docGrid w:linePitch="360"/>
        </w:sectPr>
      </w:pPr>
    </w:p>
    <w:p w:rsidR="00F642A8" w:rsidRDefault="00F642A8" w:rsidP="00E42849">
      <w:pPr>
        <w:jc w:val="center"/>
      </w:pPr>
    </w:p>
    <w:sectPr w:rsidR="00F642A8" w:rsidSect="00E42849">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849"/>
    <w:rsid w:val="00095966"/>
    <w:rsid w:val="001D64EB"/>
    <w:rsid w:val="003E64FD"/>
    <w:rsid w:val="00415C2C"/>
    <w:rsid w:val="00434085"/>
    <w:rsid w:val="00CC4354"/>
    <w:rsid w:val="00D60765"/>
    <w:rsid w:val="00E42849"/>
    <w:rsid w:val="00F642A8"/>
    <w:rsid w:val="00FD7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5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42849"/>
    <w:pPr>
      <w:suppressAutoHyphens/>
      <w:jc w:val="center"/>
    </w:pPr>
    <w:rPr>
      <w:rFonts w:ascii="Times New Roman" w:eastAsia="SimSun" w:hAnsi="Times New Roman" w:cs="Times New Roman"/>
      <w:lang w:eastAsia="zh-CN"/>
    </w:rPr>
  </w:style>
  <w:style w:type="paragraph" w:customStyle="1" w:styleId="Author">
    <w:name w:val="Author"/>
    <w:uiPriority w:val="99"/>
    <w:rsid w:val="00E42849"/>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E42849"/>
    <w:pPr>
      <w:ind w:left="720"/>
    </w:pPr>
  </w:style>
  <w:style w:type="paragraph" w:styleId="NormalWeb">
    <w:name w:val="Normal (Web)"/>
    <w:basedOn w:val="Normal"/>
    <w:uiPriority w:val="99"/>
    <w:rsid w:val="00E4284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E42849"/>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E42849"/>
    <w:rPr>
      <w:rFonts w:ascii="Times New Roman" w:hAnsi="Times New Roman" w:cs="Simplified Arabic"/>
      <w:sz w:val="28"/>
      <w:szCs w:val="28"/>
      <w:lang w:bidi="ar-SA"/>
    </w:rPr>
  </w:style>
  <w:style w:type="character" w:styleId="Hyperlink">
    <w:name w:val="Hyperlink"/>
    <w:uiPriority w:val="99"/>
    <w:unhideWhenUsed/>
    <w:rsid w:val="001D6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89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ed.zemate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4</cp:revision>
  <dcterms:created xsi:type="dcterms:W3CDTF">2013-06-19T01:51:00Z</dcterms:created>
  <dcterms:modified xsi:type="dcterms:W3CDTF">2013-08-25T12:27:00Z</dcterms:modified>
</cp:coreProperties>
</file>