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96" w:rsidRPr="005C5BC3" w:rsidRDefault="00112596" w:rsidP="005C5BC3">
      <w:pPr>
        <w:spacing w:line="240" w:lineRule="auto"/>
        <w:jc w:val="center"/>
        <w:rPr>
          <w:rFonts w:ascii="Times New Roman" w:hAnsi="Times New Roman" w:cs="Times New Roman"/>
          <w:sz w:val="48"/>
          <w:szCs w:val="48"/>
          <w:rtl/>
        </w:rPr>
      </w:pPr>
      <w:r w:rsidRPr="005C5BC3">
        <w:rPr>
          <w:rFonts w:ascii="Times New Roman" w:hAnsi="Times New Roman" w:cs="Times New Roman"/>
          <w:sz w:val="48"/>
          <w:szCs w:val="48"/>
          <w:rtl/>
        </w:rPr>
        <w:t xml:space="preserve">التدوين الشامل للسنة، وما بعده من </w:t>
      </w:r>
      <w:bookmarkStart w:id="0" w:name="_GoBack"/>
      <w:r w:rsidRPr="005C5BC3">
        <w:rPr>
          <w:rFonts w:ascii="Times New Roman" w:hAnsi="Times New Roman" w:cs="Times New Roman"/>
          <w:sz w:val="48"/>
          <w:szCs w:val="48"/>
          <w:rtl/>
        </w:rPr>
        <w:t>التصنيف</w:t>
      </w:r>
    </w:p>
    <w:bookmarkEnd w:id="0"/>
    <w:p w:rsidR="00112596" w:rsidRPr="00FD050F" w:rsidRDefault="00112596" w:rsidP="005C5BC3">
      <w:pPr>
        <w:spacing w:line="500" w:lineRule="exact"/>
        <w:jc w:val="center"/>
        <w:rPr>
          <w:sz w:val="18"/>
          <w:szCs w:val="18"/>
          <w:rtl/>
        </w:rPr>
      </w:pPr>
      <w:r w:rsidRPr="009B0961">
        <w:rPr>
          <w:rFonts w:hint="cs"/>
          <w:sz w:val="18"/>
          <w:szCs w:val="18"/>
          <w:rtl/>
        </w:rPr>
        <w:t>مبحث</w:t>
      </w:r>
      <w:r w:rsidRPr="009B0961">
        <w:rPr>
          <w:sz w:val="18"/>
          <w:szCs w:val="18"/>
          <w:rtl/>
        </w:rPr>
        <w:t xml:space="preserve"> </w:t>
      </w:r>
      <w:r w:rsidRPr="009B0961">
        <w:rPr>
          <w:rFonts w:hint="cs"/>
          <w:sz w:val="18"/>
          <w:szCs w:val="18"/>
          <w:rtl/>
        </w:rPr>
        <w:t>فى</w:t>
      </w:r>
      <w:r w:rsidRPr="009B0961">
        <w:rPr>
          <w:sz w:val="18"/>
          <w:szCs w:val="18"/>
          <w:rtl/>
        </w:rPr>
        <w:t xml:space="preserve"> </w:t>
      </w:r>
      <w:r w:rsidRPr="00FD050F">
        <w:rPr>
          <w:rFonts w:hint="cs"/>
          <w:sz w:val="18"/>
          <w:szCs w:val="18"/>
          <w:rtl/>
        </w:rPr>
        <w:t>دراسات</w:t>
      </w:r>
      <w:r w:rsidRPr="00FD050F">
        <w:rPr>
          <w:sz w:val="18"/>
          <w:szCs w:val="18"/>
          <w:rtl/>
        </w:rPr>
        <w:t xml:space="preserve"> </w:t>
      </w:r>
      <w:r w:rsidRPr="00FD050F">
        <w:rPr>
          <w:rFonts w:hint="cs"/>
          <w:sz w:val="18"/>
          <w:szCs w:val="18"/>
          <w:rtl/>
        </w:rPr>
        <w:t>فى</w:t>
      </w:r>
      <w:r w:rsidRPr="00FD050F">
        <w:rPr>
          <w:sz w:val="18"/>
          <w:szCs w:val="18"/>
          <w:rtl/>
        </w:rPr>
        <w:t xml:space="preserve"> </w:t>
      </w:r>
      <w:r w:rsidRPr="00FD050F">
        <w:rPr>
          <w:rFonts w:hint="cs"/>
          <w:sz w:val="18"/>
          <w:szCs w:val="18"/>
          <w:rtl/>
        </w:rPr>
        <w:t>علوم</w:t>
      </w:r>
      <w:r w:rsidRPr="00FD050F">
        <w:rPr>
          <w:sz w:val="18"/>
          <w:szCs w:val="18"/>
          <w:rtl/>
        </w:rPr>
        <w:t xml:space="preserve"> </w:t>
      </w:r>
      <w:r w:rsidRPr="00FD050F">
        <w:rPr>
          <w:rFonts w:hint="cs"/>
          <w:sz w:val="18"/>
          <w:szCs w:val="18"/>
          <w:rtl/>
        </w:rPr>
        <w:t>السنة</w:t>
      </w:r>
    </w:p>
    <w:p w:rsidR="00974B7F" w:rsidRPr="00974B7F" w:rsidRDefault="00974B7F" w:rsidP="00974B7F">
      <w:pPr>
        <w:spacing w:line="240" w:lineRule="auto"/>
        <w:jc w:val="center"/>
        <w:rPr>
          <w:rFonts w:ascii="Times New Roman" w:hAnsi="Times New Roman" w:cs="Times New Roman" w:hint="cs"/>
          <w:sz w:val="18"/>
          <w:szCs w:val="18"/>
          <w:rtl/>
          <w:lang w:bidi="ar-EG"/>
        </w:rPr>
      </w:pPr>
      <w:r w:rsidRPr="00974B7F">
        <w:rPr>
          <w:rFonts w:ascii="Times New Roman" w:hAnsi="Times New Roman" w:cs="Times New Roman"/>
          <w:b/>
          <w:bCs/>
          <w:sz w:val="18"/>
          <w:szCs w:val="18"/>
          <w:rtl/>
        </w:rPr>
        <w:t xml:space="preserve">إعداد / </w:t>
      </w:r>
      <w:r w:rsidRPr="00974B7F">
        <w:rPr>
          <w:rFonts w:ascii="Times New Roman" w:eastAsia="Times New Roman" w:hAnsi="Times New Roman" w:cs="Times New Roman"/>
          <w:b/>
          <w:bCs/>
          <w:color w:val="000000"/>
          <w:sz w:val="18"/>
          <w:szCs w:val="18"/>
          <w:rtl/>
        </w:rPr>
        <w:t>أحمد عبد الحميد مهدي</w:t>
      </w:r>
    </w:p>
    <w:p w:rsidR="00974B7F" w:rsidRPr="009B0961" w:rsidRDefault="00974B7F" w:rsidP="00974B7F">
      <w:pPr>
        <w:pStyle w:val="Affiliation"/>
        <w:bidi/>
        <w:rPr>
          <w:rFonts w:eastAsia="Times New Roman"/>
        </w:rPr>
      </w:pPr>
      <w:r w:rsidRPr="009B0961">
        <w:rPr>
          <w:rtl/>
        </w:rPr>
        <w:t>قسم الدعوة وأصول الدين</w:t>
      </w:r>
    </w:p>
    <w:p w:rsidR="00974B7F" w:rsidRPr="009B0961" w:rsidRDefault="00974B7F" w:rsidP="00974B7F">
      <w:pPr>
        <w:pStyle w:val="Affiliation"/>
        <w:bidi/>
      </w:pPr>
      <w:r w:rsidRPr="009B0961">
        <w:rPr>
          <w:rtl/>
        </w:rPr>
        <w:t>كلية العلوم الإسلامية – جامعة المدينة العالمية</w:t>
      </w:r>
    </w:p>
    <w:p w:rsidR="00974B7F" w:rsidRPr="00974B7F" w:rsidRDefault="00974B7F" w:rsidP="00974B7F">
      <w:pPr>
        <w:spacing w:line="240" w:lineRule="auto"/>
        <w:jc w:val="center"/>
        <w:rPr>
          <w:rFonts w:ascii="Times New Roman" w:hAnsi="Times New Roman" w:cs="Times New Roman"/>
          <w:b/>
          <w:bCs/>
          <w:sz w:val="18"/>
          <w:szCs w:val="18"/>
          <w:rtl/>
          <w:lang w:bidi="ar-EG"/>
        </w:rPr>
      </w:pPr>
      <w:r w:rsidRPr="009B0961">
        <w:rPr>
          <w:rtl/>
        </w:rPr>
        <w:t>شاه علم - ماليزيا</w:t>
      </w:r>
    </w:p>
    <w:p w:rsidR="00974B7F" w:rsidRPr="00974B7F" w:rsidRDefault="00974B7F" w:rsidP="00974B7F">
      <w:pPr>
        <w:spacing w:line="240" w:lineRule="auto"/>
        <w:jc w:val="center"/>
        <w:rPr>
          <w:rFonts w:ascii="Times New Roman" w:hAnsi="Times New Roman" w:cs="Times New Roman"/>
          <w:sz w:val="18"/>
          <w:szCs w:val="18"/>
          <w:rtl/>
          <w:lang w:bidi="ar-EG"/>
        </w:rPr>
      </w:pPr>
      <w:hyperlink r:id="rId8" w:history="1">
        <w:r w:rsidRPr="00974B7F">
          <w:rPr>
            <w:rStyle w:val="Hyperlink"/>
            <w:rFonts w:ascii="Times New Roman" w:eastAsia="Times New Roman" w:hAnsi="Times New Roman" w:cs="Times New Roman"/>
            <w:sz w:val="18"/>
            <w:szCs w:val="18"/>
          </w:rPr>
          <w:t>ahmed.mahdey@mediu.ws</w:t>
        </w:r>
      </w:hyperlink>
    </w:p>
    <w:p w:rsidR="00112596" w:rsidRDefault="00112596" w:rsidP="005C5BC3">
      <w:pPr>
        <w:spacing w:line="240" w:lineRule="auto"/>
        <w:rPr>
          <w:rFonts w:ascii="Times New Roman" w:hAnsi="Times New Roman" w:cs="Times New Roman"/>
          <w:b/>
          <w:bCs/>
          <w:sz w:val="18"/>
          <w:szCs w:val="18"/>
          <w:rtl/>
          <w:lang w:bidi="ar-EG"/>
        </w:rPr>
      </w:pPr>
    </w:p>
    <w:p w:rsidR="00112596" w:rsidRDefault="00112596" w:rsidP="005C5BC3">
      <w:pPr>
        <w:spacing w:line="240" w:lineRule="auto"/>
        <w:rPr>
          <w:rFonts w:ascii="Times New Roman" w:hAnsi="Times New Roman" w:cs="Times New Roman"/>
          <w:b/>
          <w:bCs/>
          <w:sz w:val="18"/>
          <w:szCs w:val="18"/>
          <w:lang w:bidi="ar-EG"/>
        </w:rPr>
        <w:sectPr w:rsidR="00112596" w:rsidSect="00934886">
          <w:pgSz w:w="11906" w:h="16838"/>
          <w:pgMar w:top="1890" w:right="2736" w:bottom="2448" w:left="2736" w:header="720" w:footer="720" w:gutter="0"/>
          <w:cols w:space="720"/>
          <w:bidi/>
          <w:rtlGutter/>
          <w:docGrid w:linePitch="360"/>
        </w:sectPr>
      </w:pPr>
    </w:p>
    <w:p w:rsidR="00112596" w:rsidRPr="005C5BC3" w:rsidRDefault="00112596" w:rsidP="005C5BC3">
      <w:pPr>
        <w:spacing w:line="240" w:lineRule="auto"/>
        <w:rPr>
          <w:rFonts w:ascii="Times New Roman" w:hAnsi="Times New Roman" w:cs="Times New Roman"/>
          <w:b/>
          <w:bCs/>
          <w:sz w:val="18"/>
          <w:szCs w:val="18"/>
          <w:rtl/>
        </w:rPr>
      </w:pPr>
      <w:r w:rsidRPr="005C5BC3">
        <w:rPr>
          <w:rFonts w:ascii="Times New Roman" w:hAnsi="Times New Roman" w:cs="Times New Roman"/>
          <w:b/>
          <w:bCs/>
          <w:sz w:val="18"/>
          <w:szCs w:val="18"/>
          <w:rtl/>
        </w:rPr>
        <w:lastRenderedPageBreak/>
        <w:t>الخلاصة – هذا البحث يبحث فى التدوين الشامل للسنة، وما بعده من التصنيف</w:t>
      </w:r>
      <w:r w:rsidRPr="005C5BC3">
        <w:rPr>
          <w:rFonts w:ascii="Times New Roman" w:hAnsi="Times New Roman" w:cs="Times New Roman"/>
          <w:b/>
          <w:bCs/>
          <w:sz w:val="18"/>
          <w:szCs w:val="18"/>
        </w:rPr>
        <w:t xml:space="preserve"> </w:t>
      </w:r>
      <w:r w:rsidRPr="005C5BC3">
        <w:rPr>
          <w:rFonts w:ascii="Times New Roman" w:hAnsi="Times New Roman" w:cs="Times New Roman"/>
          <w:b/>
          <w:bCs/>
          <w:sz w:val="18"/>
          <w:szCs w:val="18"/>
        </w:rPr>
        <w:br/>
      </w:r>
      <w:r w:rsidRPr="005C5BC3">
        <w:rPr>
          <w:rFonts w:ascii="Times New Roman" w:hAnsi="Times New Roman" w:cs="Times New Roman"/>
          <w:b/>
          <w:bCs/>
          <w:sz w:val="18"/>
          <w:szCs w:val="18"/>
          <w:rtl/>
        </w:rPr>
        <w:t xml:space="preserve">الكلمات المفتاحية – </w:t>
      </w:r>
      <w:r>
        <w:rPr>
          <w:rFonts w:ascii="Times New Roman" w:hAnsi="Times New Roman" w:cs="Times New Roman"/>
          <w:b/>
          <w:bCs/>
          <w:sz w:val="18"/>
          <w:szCs w:val="18"/>
          <w:rtl/>
        </w:rPr>
        <w:t>الخليفة العادل</w:t>
      </w:r>
      <w:r w:rsidRPr="005C5BC3">
        <w:rPr>
          <w:rFonts w:ascii="Times New Roman" w:hAnsi="Times New Roman" w:cs="Times New Roman"/>
          <w:b/>
          <w:bCs/>
          <w:sz w:val="18"/>
          <w:szCs w:val="18"/>
          <w:rtl/>
        </w:rPr>
        <w:t xml:space="preserve">، </w:t>
      </w:r>
      <w:r>
        <w:rPr>
          <w:rFonts w:ascii="Times New Roman" w:hAnsi="Times New Roman" w:cs="Times New Roman"/>
          <w:b/>
          <w:bCs/>
          <w:sz w:val="18"/>
          <w:szCs w:val="18"/>
          <w:rtl/>
        </w:rPr>
        <w:t>الصحابة</w:t>
      </w:r>
      <w:r w:rsidRPr="005C5BC3">
        <w:rPr>
          <w:rFonts w:ascii="Times New Roman" w:hAnsi="Times New Roman" w:cs="Times New Roman"/>
          <w:b/>
          <w:bCs/>
          <w:sz w:val="18"/>
          <w:szCs w:val="18"/>
          <w:rtl/>
        </w:rPr>
        <w:t xml:space="preserve"> ، </w:t>
      </w:r>
      <w:r>
        <w:rPr>
          <w:rFonts w:ascii="Times New Roman" w:hAnsi="Times New Roman" w:cs="Times New Roman"/>
          <w:b/>
          <w:bCs/>
          <w:sz w:val="18"/>
          <w:szCs w:val="18"/>
          <w:rtl/>
        </w:rPr>
        <w:t>المصنفات</w:t>
      </w:r>
    </w:p>
    <w:p w:rsidR="00112596" w:rsidRPr="005C5BC3" w:rsidRDefault="00112596" w:rsidP="005C5BC3">
      <w:pPr>
        <w:pStyle w:val="NormalWeb"/>
        <w:jc w:val="center"/>
        <w:rPr>
          <w:b/>
          <w:bCs/>
          <w:sz w:val="18"/>
          <w:szCs w:val="18"/>
          <w:lang w:bidi="ar-EG"/>
        </w:rPr>
      </w:pPr>
      <w:r w:rsidRPr="005C5BC3">
        <w:rPr>
          <w:b/>
          <w:bCs/>
          <w:sz w:val="18"/>
          <w:szCs w:val="18"/>
          <w:rtl/>
        </w:rPr>
        <w:t>المقدمة</w:t>
      </w:r>
      <w:r w:rsidRPr="005C5BC3">
        <w:rPr>
          <w:b/>
          <w:bCs/>
          <w:sz w:val="18"/>
          <w:szCs w:val="18"/>
          <w:lang w:bidi="ar-EG"/>
        </w:rPr>
        <w:t>.I</w:t>
      </w:r>
    </w:p>
    <w:p w:rsidR="00112596" w:rsidRPr="005C5BC3" w:rsidRDefault="00112596" w:rsidP="005C5BC3">
      <w:pPr>
        <w:spacing w:line="240" w:lineRule="auto"/>
        <w:rPr>
          <w:rFonts w:ascii="Times New Roman" w:hAnsi="Times New Roman" w:cs="Times New Roman"/>
          <w:b/>
          <w:bCs/>
          <w:sz w:val="18"/>
          <w:szCs w:val="18"/>
          <w:rtl/>
        </w:rPr>
      </w:pPr>
      <w:r w:rsidRPr="005C5BC3">
        <w:rPr>
          <w:rFonts w:ascii="Times New Roman" w:hAnsi="Times New Roman" w:cs="Times New Roman"/>
          <w:b/>
          <w:bCs/>
          <w:sz w:val="18"/>
          <w:szCs w:val="18"/>
          <w:rtl/>
        </w:rPr>
        <w:t>الحمد لله رب العالمين، والصلاة والسلام على أشرف المرسلين سيدنا محمد، وعلى آله وصحبه والتابعين ، سوف نقوم في هذا البحث بمعرفة التدوين الشامل للسنة، وما بعده من التصنيف</w:t>
      </w:r>
    </w:p>
    <w:p w:rsidR="00112596" w:rsidRPr="005C5BC3" w:rsidRDefault="00112596" w:rsidP="005C5BC3">
      <w:pPr>
        <w:pStyle w:val="NormalWeb"/>
        <w:jc w:val="center"/>
        <w:rPr>
          <w:b/>
          <w:bCs/>
          <w:sz w:val="18"/>
          <w:szCs w:val="18"/>
        </w:rPr>
      </w:pPr>
      <w:r w:rsidRPr="005C5BC3">
        <w:rPr>
          <w:b/>
          <w:bCs/>
          <w:sz w:val="18"/>
          <w:szCs w:val="18"/>
          <w:rtl/>
        </w:rPr>
        <w:t>.عنوان المقال</w:t>
      </w:r>
      <w:r w:rsidRPr="005C5BC3">
        <w:rPr>
          <w:b/>
          <w:bCs/>
          <w:sz w:val="18"/>
          <w:szCs w:val="18"/>
        </w:rPr>
        <w:t xml:space="preserve"> II</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t>قد سبق أن ألمحنا وأشرنا إلى أن الخليفة العادل عمر بن عبد العزيز -رضي الله تعالى عنه- أمر بتدوين السنة تدوينًا شاملًا بعد أن كانت مكتوبة عند بعض الصحابة والتابعين في مجموعات وصحف لا ترقى إلى مستوى المصنفات والمؤلفات، وهذا هو المراد بالتدوين أي: وضع الأحاديث في دواوين لا ابتداء كتابة السنة كما فهم بعض المستشرقين، وبنوا على ذلك أخطاءهم، وقد أسهبنا الكلام في ذلك.</w:t>
      </w:r>
    </w:p>
    <w:p w:rsidR="00112596" w:rsidRPr="005C5BC3" w:rsidRDefault="00112596" w:rsidP="005C5BC3">
      <w:pPr>
        <w:pStyle w:val="NormalWeb"/>
        <w:bidi/>
        <w:spacing w:before="0" w:beforeAutospacing="0" w:after="120" w:afterAutospacing="0"/>
        <w:jc w:val="both"/>
        <w:rPr>
          <w:b/>
          <w:bCs/>
          <w:sz w:val="18"/>
          <w:szCs w:val="18"/>
          <w:lang w:bidi="ar-EG"/>
        </w:rPr>
      </w:pPr>
      <w:r w:rsidRPr="005C5BC3">
        <w:rPr>
          <w:b/>
          <w:bCs/>
          <w:sz w:val="18"/>
          <w:szCs w:val="18"/>
          <w:rtl/>
        </w:rPr>
        <w:t xml:space="preserve">كتب عمر -رضي الله تعالى عنه- إلى الآفاق: أن انظروا حديث رسول الله </w:t>
      </w:r>
      <w:r w:rsidRPr="005C5BC3">
        <w:rPr>
          <w:b/>
          <w:bCs/>
          <w:spacing w:val="20"/>
          <w:position w:val="-4"/>
          <w:sz w:val="18"/>
          <w:szCs w:val="18"/>
        </w:rPr>
        <w:sym w:font="AGA Arabesque" w:char="F065"/>
      </w:r>
      <w:r w:rsidRPr="005C5BC3">
        <w:rPr>
          <w:b/>
          <w:bCs/>
          <w:sz w:val="18"/>
          <w:szCs w:val="18"/>
          <w:rtl/>
        </w:rPr>
        <w:t xml:space="preserve">فاجمعوه، وفي كتابه إلى أهل المدينة ما يبين سبب إقدامه على هذه الخطوة، وهو خوفه من دروس العلم وذهاب العلماء، يروي البخاري وكتب عمر بن عبد العزيز إلى أبي بكر بن حزم عالم المدينة: انظر ما كان من حديث رسول الله </w:t>
      </w:r>
      <w:r w:rsidRPr="005C5BC3">
        <w:rPr>
          <w:b/>
          <w:bCs/>
          <w:spacing w:val="20"/>
          <w:position w:val="-4"/>
          <w:sz w:val="18"/>
          <w:szCs w:val="18"/>
        </w:rPr>
        <w:sym w:font="AGA Arabesque" w:char="F065"/>
      </w:r>
      <w:r w:rsidRPr="005C5BC3">
        <w:rPr>
          <w:b/>
          <w:bCs/>
          <w:sz w:val="18"/>
          <w:szCs w:val="18"/>
          <w:rtl/>
        </w:rPr>
        <w:t>فاكتبه، فإني خفت دروس العلم وذهاب العلم، دروس العلم يعني: ذهاب الع</w:t>
      </w:r>
      <w:r>
        <w:rPr>
          <w:b/>
          <w:bCs/>
          <w:sz w:val="18"/>
          <w:szCs w:val="18"/>
          <w:rtl/>
        </w:rPr>
        <w:t>لم، ولا تقبل إلا حديث رسول الله</w:t>
      </w:r>
      <w:r w:rsidRPr="005C5BC3">
        <w:rPr>
          <w:b/>
          <w:bCs/>
          <w:sz w:val="18"/>
          <w:szCs w:val="18"/>
          <w:rtl/>
        </w:rPr>
        <w:t>.</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t>وامتثل العلماء لهذا الأمر وجدُّوا في جمع الحديث؛ فهذا ابن شهاب الزهري الذي توفي سنة مائة وأربع وعشرين، وهو ممن أمرهم الخليفة بذلك يجمع السنن وما جاء عن العلماء، ويدون كل ذلك، وجمع ما كتبه هو وغيره من علماء، واستخرج منه نسخًا لتوَّزع في جميع البلدان، ووجد في كل مدينة من يهتم بجمع الحديث والتصنيف في السنة:</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t>- ففي مكة صنف في السنة ابن جريج الذي توفي سنة مائة وخمسين، وسفيان بن عيينة الذي توفي سنة مائة وثمان وتسعين من الهجرة.</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t>- وفي المدينة المنورة ألف مالك بن أنس الذي توفي سنة مائة وتسع وسبعين، ومحمد بن إسحاق الذي توفي سنة مائة وإحدى وخمسين، ومحمد بن عبد الرحمن بن أبي ذئب الذي توفي سنة مائة وسبع وخمسين.</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lastRenderedPageBreak/>
        <w:t>- وفي البصرة الربيع بن صبيح الذي توفي سنة مائة وستين من الهجرة، وسعيد بن أبي عروبة الذي توفي سنة مائة وست وخمسين، وحماد بن سلمة الذي توفي سنة مائة وثمان وستين.</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t>- وفي اليمن معمر بن راشد الذي توفي سنة مائة وثلاث وخمسين.</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t>- وفي الشام عبد الرحمن الأوزاعي الذي توفي سنة مائة وسبع وخمسين.</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t>- وفي الكوفة سفيان الثوري الذي توفي سنة مائة وإحدى وستين.</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t>- وفي خراسان عبد الله بن المبارك الذي توفي سنة مائة وإحدى وثمانين.</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t>- وفي واسط هشيم بن بشير الذي توفي سنة مائة وثلاث وثمانين.</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t>- وفي الري جرير بن عبد الحميد الذي توفي سنة مائة وثمان وثمانين.</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t>- وفي مصر عبد الله بن وهب الذي توفي سنة مائة وسبع وتسعين.</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t>ثم تلاهم كثير من أهل عصرهم ممن نسجوا على منوالهم.</w:t>
      </w:r>
    </w:p>
    <w:p w:rsidR="00112596" w:rsidRPr="005C5BC3" w:rsidRDefault="00112596" w:rsidP="005C5BC3">
      <w:pPr>
        <w:pStyle w:val="NormalWeb"/>
        <w:bidi/>
        <w:spacing w:before="0" w:beforeAutospacing="0" w:after="120" w:afterAutospacing="0"/>
        <w:jc w:val="both"/>
        <w:rPr>
          <w:b/>
          <w:bCs/>
          <w:sz w:val="18"/>
          <w:szCs w:val="18"/>
        </w:rPr>
      </w:pPr>
      <w:r w:rsidRPr="005C5BC3">
        <w:rPr>
          <w:b/>
          <w:bCs/>
          <w:sz w:val="18"/>
          <w:szCs w:val="18"/>
          <w:rtl/>
        </w:rPr>
        <w:t>وأغلب هؤلاء قد عاشوا في المنتصف الأول من القرن الثاني الهجري، ولا يُعقل أنهم صنفوا هذه المصنفات، وليس هناك ما هو مكتوب في القرن الأول، وكأنهم أتوا بالرجال وأخذوا الحديث من صدورهم، وهذا لا يتصور حتى كان يسجل لنا التاريخ ذلك، كما سجل تاريخ جمع القرآن مفصلًا، فهذا التصنيف -على قوامه وعلى استقامته في النصف الأول من القرن الثاني- يدل على أن هناك مكتوبات كثيرة كانت في القرن الأول الهجري، وبالله التوفيق.</w:t>
      </w:r>
    </w:p>
    <w:p w:rsidR="00112596" w:rsidRPr="005C5BC3" w:rsidRDefault="00112596" w:rsidP="005C5BC3">
      <w:pPr>
        <w:pStyle w:val="NormalWeb"/>
        <w:bidi/>
        <w:jc w:val="lowKashida"/>
        <w:rPr>
          <w:b/>
          <w:bCs/>
          <w:sz w:val="18"/>
          <w:szCs w:val="18"/>
        </w:rPr>
      </w:pPr>
      <w:r w:rsidRPr="005C5BC3">
        <w:rPr>
          <w:b/>
          <w:bCs/>
          <w:sz w:val="18"/>
          <w:szCs w:val="18"/>
          <w:rtl/>
        </w:rPr>
        <w:t>منهج التصنيف عند هؤلاء:</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قد كانت معظم مصنفات هؤلاء ومجاميعهم تضمّ الحديث الشريف، وفتاوى الصحابة والتابعين، وأظهر مثل لذلك موطأ الإمام مالك الذي نرى فيه الحديث وفتاوى الصحابة والتابعين، وعمل أهل المدينة.</w:t>
      </w:r>
    </w:p>
    <w:p w:rsidR="00112596" w:rsidRPr="005C5BC3" w:rsidRDefault="00112596" w:rsidP="005C5BC3">
      <w:pPr>
        <w:pStyle w:val="NormalWeb"/>
        <w:bidi/>
        <w:jc w:val="lowKashida"/>
        <w:rPr>
          <w:b/>
          <w:bCs/>
          <w:sz w:val="18"/>
          <w:szCs w:val="18"/>
        </w:rPr>
      </w:pPr>
      <w:r w:rsidRPr="005C5BC3">
        <w:rPr>
          <w:b/>
          <w:bCs/>
          <w:sz w:val="18"/>
          <w:szCs w:val="18"/>
          <w:rtl/>
        </w:rPr>
        <w:t>التأليف في نهاية القرن الثاني وبداية الثالث:</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ثم خطا التأليف خطوة أخرى على يد أئمة عاشوا في القرن الثاني، وقليل من القرن الثالث، فقد رأى بعض هؤلاء الأئمة أن يجمعوا الأحاديث التي رواها كل صحابي في موضع واحد، ويقتصر في ذلك على الأحاديث فأُلفت المسانيد.</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 xml:space="preserve">وممن ألف في ذلك: أبو داود الطيالسي الذي توفي سنة مائتين وأربع من الهجرة، وأسد بن موسى الذي توفي سنة مائتين وثنتي عشرة، وأبو بكر </w:t>
      </w:r>
      <w:r w:rsidRPr="005C5BC3">
        <w:rPr>
          <w:b/>
          <w:bCs/>
          <w:sz w:val="18"/>
          <w:szCs w:val="18"/>
          <w:rtl/>
        </w:rPr>
        <w:lastRenderedPageBreak/>
        <w:t>الحميدي الذي توفي سنة مائتين وتسع عشرة، وعبيد الله بن موسى الذي توفي سنة مائتين وإحدى وثلاثين، ومسدد البصري الذي توفي سنة مائتين وثمان وعشرين، ونعيم بن حماد الذي توفي سنة مائتين وثمان وعشرين، وأحمد بن حنبل الذي توفي سنة مائتين وإحدى وأربعين، وإسحاق بن راهويه الذي توفي سنة مائتين وثمان وثلاثين، وعثمان بن أبي شيبة الذي توفي سنة مائتين وتسع وثلاثين.</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 xml:space="preserve">ورواة المسانيد وإن كانوا قد تقدموا خطوة عن سابقيهم، فأفردوا حديث رسول الله </w:t>
      </w:r>
      <w:r w:rsidRPr="005C5BC3">
        <w:rPr>
          <w:b/>
          <w:bCs/>
          <w:spacing w:val="20"/>
          <w:position w:val="-4"/>
          <w:sz w:val="18"/>
          <w:szCs w:val="18"/>
        </w:rPr>
        <w:sym w:font="AGA Arabesque" w:char="F065"/>
      </w:r>
      <w:r w:rsidRPr="005C5BC3">
        <w:rPr>
          <w:b/>
          <w:bCs/>
          <w:sz w:val="18"/>
          <w:szCs w:val="18"/>
          <w:rtl/>
        </w:rPr>
        <w:t>بالتأليف، ولم يخلطوه بأقوال الصحابة والتابعين غالبًا لم يميزوا الصحيح من الضعيف، ودونوا هذا وذاك مما يصعب على القارئ تمييز الصحيح من غيره إلا إذا كان من أئمة هذا الشأن، ومن ذوي الخبرة في ميدانه مع استمرار التأليف على طريقة المصنفات السالفة الذكر، كما نجد ذلك في (مصنف عبد الرزاق) الذي توفي سنة مائتين وإحدى عشرة.</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كذلك نجد في هذه الفترة التأليف في الرواة قد تبع التدوين الشامل للأحاديث أو تعاصر معه، وأُلف في الرواة ناقلي الأحاديث من حيث بيان من روى عنهم، ومن رووا هم عنه وتاريخ وفاة كل واحد منهم، وتاريخ ولادته إن وجدت، وبيان موطن كل منهم، ومعرفة أسمائهم وكناهم وألقابهم وأنسابهم، وبيان العدول منهم والمجرحين.</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وممن ألف في أواخر القرن الثاني وأوائل الثالث: الإمام يحيى بن معين الذي ألف: (تاريخ الرواة)، ويبدو أنه غير التاريخ الذي هو بين أيدينا الآن، وخليفة بن خياط الشيباني الذي ألف (التاريخ) في عشرة أجزاء، وألف أيضًا (طبقات الرواة) وخليفة قد توفي سنة مائتين وأربعين، وهذان الكتابان مطبوعان.</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وألف الإمام أحمد بن حنبل الذي توفي سنة مائتين وإحدى وأربعين: (التاريخ) و(الكنى) و(الجرح والتعديل).</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وألف الإمام ابن سعد كاتب الواقدي الذي توفي سنة مائتين وثلاثين من الهجرة كتاب (الطبقات)، وترجم فيه للصحابة على طبقاتهم، فالتابعين فمن بعدهم إلى وقته.</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وألف علي بن المديني الذي توفي سنة مائتين وأربع وثلاثين كتابي: (الأسامي) و(الكنى)، ومعرفة من نزل من الصحابة سائر البلدان.</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ومع تدوين السنة والتأليف في الرواة وجدنا مؤلفات في علل الحديث أي: في كشف الصحيح منها من غيره ببيان ما في بعضها من خلل في المتن أو الإسناد، وكان بدء ذلك أيضًا في أواخر القرن الثاني وأوائل القرن الثالث الهجريين، وممن ألف في ذلك الإمام الحافظ يحيى بن سعيد القطان ألف كتاب (العلل)، والإمام يحيى بن معين الذي ألف (التاريخ) و(العلل) ذكر فيه بعض الرواة وبعض أخبارهم، وبين عللها، وللحافظ علي بن المديني مؤلفات في ذلك كما ألف الإمام أحمد بن حنبل كتاب (علل الحديث) و(معرفة الرجال).</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ولم يرتب المؤلفون في العلل في هذا الدور كتبهم على طريقة المسانيد، أو الأبواب، أو حروف المعجم إنما جاءت بغير ترتيب.</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والذي يتصفح العلل ومعرفة الرجال للإمام أحمد والتاريخ لابن معين يدرك ذلك، فإنهما بغير ترتيب، وإذا كان تاريخ ابن معين في بعض أجزائه إنما هو مرتب فما صنعه إلا عالم في العصر الحديث، وهو الدكتور أحمد نور سيف، لكن أصل الكتاب -كما يبدو في الأجزاء الأخرى- غير مرتب تمامًا، ووضعت في ثنايا هذه المؤلفات الضوابط والأسس التي تصون مسار السنة، وتجعل انتقالها صحيحًا على أيدي الرواة.</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ويمكن أن نجمل الجهود التي بذلت في القرن الثاني وأوائل القرن الثالث فيما يلي:</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1- دُوّنت السنة تدوينًا شاملًا، وبدأ في ذلك في عهد الخليفة العادل عمر بن عبد العزيز -رضي الله تعالى عنه.</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 xml:space="preserve">2- كان جمع السنة أولًا مختلطًا بأقوال الصحابة والتابعين، ثم أفرد الحديث النبوي بالتأليف على طريقة المسانيد، قد كان هذا التأليف يختلط فيه الصحيح بالضعيف كما نرى ذلك في مسندي: (الحميدي، و(أحمد) صاحب جمع السنة التأليف في الرواة، ناقليها عن رسول الله </w:t>
      </w:r>
      <w:r w:rsidRPr="005C5BC3">
        <w:rPr>
          <w:b/>
          <w:bCs/>
          <w:spacing w:val="20"/>
          <w:position w:val="-4"/>
          <w:sz w:val="18"/>
          <w:szCs w:val="18"/>
        </w:rPr>
        <w:sym w:font="AGA Arabesque" w:char="F065"/>
      </w:r>
      <w:r w:rsidRPr="005C5BC3">
        <w:rPr>
          <w:b/>
          <w:bCs/>
          <w:sz w:val="18"/>
          <w:szCs w:val="18"/>
          <w:rtl/>
        </w:rPr>
        <w:t>وبيان أحوالهم.</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 xml:space="preserve">3- كما صاحب ذلك التأليف في علل الحديث من أجل بيان الصحيح من غيره، وفيها بيان لسبب صحة الحديث أو ضعفه. </w:t>
      </w:r>
    </w:p>
    <w:p w:rsidR="00112596" w:rsidRPr="005C5BC3" w:rsidRDefault="00112596" w:rsidP="005C5BC3">
      <w:pPr>
        <w:pStyle w:val="NormalWeb"/>
        <w:bidi/>
        <w:jc w:val="lowKashida"/>
        <w:rPr>
          <w:b/>
          <w:bCs/>
          <w:sz w:val="18"/>
          <w:szCs w:val="18"/>
        </w:rPr>
      </w:pPr>
      <w:r w:rsidRPr="005C5BC3">
        <w:rPr>
          <w:b/>
          <w:bCs/>
          <w:sz w:val="18"/>
          <w:szCs w:val="18"/>
          <w:rtl/>
        </w:rPr>
        <w:t>السُّنة في القرن الثالث الهجري:</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lastRenderedPageBreak/>
        <w:t>جاء القرن الثالث الهجري فشهد قمة ما بدأه الصحابة ومن بعدهم من الأئمة من أجل المحافظة على السنة من حيث التدوين، والنقد، والتأليف فيهما، وكان هذا العصر -كما يقول الدكتور السباعي-: أزهى عصور السنة وأسعدها بأئمة الحديث وتآليفهم العظيمة الخالدة:</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ففي مجال تدوين الأحاديث ألَّف الإمام محمد بن إسماعيل البخاري الذي توفي سنة مائتين وست وخمسين كتابه (الجامع الصحيح) الذي اعتبر خطوة جديدة ورائعة في التصنيف في الحديث؛ لأنه اشترط ألا يدخل في صحيحه إلا ما اتصل إسناده بالثقات المتقنين الملازمين لمن أخذوا عنه ملازمة طويلة سفرًا وحضرًا، وثبت تاريخيًّا سماعهم منه.</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كما ألف الإمام مسلم بن الحجاج القشيري الذي توفي سنة مائتين وإحدى وستين صحيحه الذي اشترط ألا يُخرج فيه إلا الحديث المتصل الإسناد، والذي رواه العدول الضابطون الموثوق بصدقهم وأمانتهم وحفظهم، ويقظتهم وعدم غفلتهم.</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وفي هذا القرن أيضًا ألف الإمام أبو داود السجستاني الذي توفي سنة مائتين وخمس وسبعين كتابه (السنن)، وهو كتاب استقصى فيه أحاديث الأحكام وجعله خاصًّا بها بعد أن كانت الجوامع والمسانيد يذكر فيها إلى جانب الأحكام أحاديث الفضائل، والقصص، والمواعظ، والآداب، والتفسير. وكان شرطه فيه كما يقول: ألا يذكر حديثًا أجمع الناس على تركه، وأن يبين ما فيه وهن شديد، وما سكت عنه فهو صالح.</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وألف الإمام الترمذي الذي توفي سنة مائة وتسع وسبعين كتابه (الجامع)، وقد التزم فيه ألا يخرج فيه إلا حديثًا عمل به فقيه أو احتج به محتج، وهذا الكتاب من الكتب الستة المبين فيها الصحيح؛ لأنه وإن لم يلتزم إخراج الصحيح فيه إلا أنه يُبيّن درجة معظم الأحاديث فيه.</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كما ألف الإمام النسائي كتابه السنن والتزم فيه إخراج الصحيح والحسن وما يقاربهما، كما أتبعه بكتاب (السنن الصغرى)، وسماه (المجتبى من السنن) مقتصرًا فيه على الصحيح الذي ورد في (السنن الكبرى).</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هذا؛ وقد رأى العلماء في الكتابين الضعيف من الأحاديث وإن كان قليلًا في الثاني.</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وألف الإمام ابن ماجه كتابه (السنن)، وقليل منه ضعيف الإسناد لا يتقوى بالمتابعات والشواهد.</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ويلاحظ أن التأليف في هذا القرن -كما رأينا- يتميز بعضه بميزة هامة وهي التقليل بقدر الإمكان من الأحاديث الضعيفة، والحذر من إدخالها في كتب الحديث إلا ما بُيّن ووضح، وهذه ميزة ليست بهينة القيمة إذا علمنا أن كثيرًا من الأحاديث الموضوعة والضعيفة قد زيدت عن السنة، وأن إبعادها عن كتب الحديث يحتاج إلى محدثين ناقدين أوتوا علمًا وفيرًا، وبصيرة نيرة في هذا الفن، وهذا توفر -بحمد الله تعالى- عند الأئمة أصحاب الكتب الستة: البخاري، ومسلم، وأبي داود، والترمذي، والنسائي، وابن ماجه.</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وفي مجال علوم الحديث غير الرواية شهد هذا القرن الأئمة من النقاد الكبار الذين استفادوا من جهود من سبقهم من العلماء، وأضافوا إلى ذلك خبرتهم وجهودهم، ودونوا ذلك في مصنفاتهم. ومن هؤلاء الأئمة محمد بن إسماعيل البخاري، وأبو حاتم وأبو زرعة الرازيان، وابنه عبد الرحمن؛ ففي معرفة الصحابة عبد الله بن محمد بن عيسى المروزي الذي توفي سنة مائتين وثلاث وتسعين كتاب (المعرفة).</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وفي تواريخ الرجال وأحوالهم ألف الإمام البخاري كتابه (التاريخ الكبير) قد حاول فيه استيعاب الرواة من الصحابة فمن بعدهم إلى طبقة شيوخه ما بين رجل وامرأة وضعيف وثقة، وألف أيضًا (التاريخ الأوسط)، و(الصغير).</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وفي طبقات التابعين ألف الإمام مسلم بن الحجاج كتاب (الطبقات).</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وفي (الكنى) ألف الإئمة البخاري ومسلم والنسائي والترمذي.</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وفي (الجرح والتعديل) ألف الإمام إسحاق الجوزجاني الذي توفي سنة مائتين وست وخمسين، أو سنة مائتين وتسع وخمسين (الجرح والتعديل) و(الضعفاء)، وألف الإمام البخاري كتاب (الضعفاء)، وألف ابن أبي خيثمة (تاريخ الثقات والضعفاء)، وألف كل من الإمامين الترمذي وابن ماجه كتاب التاريخ، وقد أرخ الأخير في كتابه للرجال من عصر الصحابة إلى وقته، وألف ابن أبي حاتم وهو قد توفي سنة ثلاثمائة وسبع وعشرين كتابه (الجرح والتعديل)، الذي يضم معظم أحكام الأئمة على الرواة إلى عصره، وألف الإمام النسائي كتاب (الضعفاء والمتروكين).</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lastRenderedPageBreak/>
        <w:t>وفي (علل الحديث) ألف كل من الأئمة أبو جعفر الموصلي، وعمرو بن علي، ومحمد بن إسماعيل البخاري، كما ألف محمد بن يحيى الذهلي كتاب علل الحديث الزهري، وألف الإمام النسائي مسند حديث الزهري بعلله، وألف كل من الأئمة أبي زرعة الرازي وأبي زرعة الدمشقي والترمذي والبزار ويعقوب بن أبي شيبة وغيرهم (المسند المعلل)، ويعتبر الكتاب الأخير من أحسن ما صُنّف في هذا الباب وإن لم يتمه. وللحافظ أبي جعفر بن جرير الطبري كتاب (تهذيب الآثار) جمع فيه أخبارًا مرتبة على طريقة المسانيد، وبيَّن فيه عللها.  ومن أحسن ما أُلِّف في هذا القرن كتاب (علل الحديث) لابن أبي حاتم.</w:t>
      </w:r>
    </w:p>
    <w:p w:rsidR="00112596" w:rsidRPr="005C5BC3" w:rsidRDefault="00112596" w:rsidP="005C5BC3">
      <w:pPr>
        <w:pStyle w:val="NormalWeb"/>
        <w:bidi/>
        <w:spacing w:before="0" w:beforeAutospacing="0" w:after="120" w:afterAutospacing="0"/>
        <w:jc w:val="lowKashida"/>
        <w:rPr>
          <w:b/>
          <w:bCs/>
          <w:sz w:val="18"/>
          <w:szCs w:val="18"/>
        </w:rPr>
      </w:pPr>
      <w:r w:rsidRPr="005C5BC3">
        <w:rPr>
          <w:b/>
          <w:bCs/>
          <w:sz w:val="18"/>
          <w:szCs w:val="18"/>
          <w:rtl/>
        </w:rPr>
        <w:t>وفي (المراسيل) ألف الإمام أبو داود كتابه (المراسيل) ورتبه على الأبواب الفقهية، كما ألف ابن أبي حاتم الرازي كتاب (المراسيل) الذي جمع فيه معظم الرواة الذين رووا روايات فيها انقطاع في السند، ورتبه على حروف المعجم، كما أُلفت في هذا القرن كتب في مجالات أخرى من علم الحديث تهدف إلى الحفاظ على السنة مثل كتاب (بيان أوهام المحدثين) الذي ألفه الإمام مسلم، وكتاب (تأويل مختلف الحديث) الذي ألفه الإمام بن قتيبة؛ ليرد فيه على أعداء الحديث ويزيل التناقض الذي أثاره مخالفو أهل الحديث في الرأي أو في المنهج.</w:t>
      </w:r>
    </w:p>
    <w:p w:rsidR="00112596" w:rsidRPr="005C5BC3" w:rsidRDefault="00112596" w:rsidP="005C5BC3">
      <w:pPr>
        <w:pStyle w:val="NormalWeb"/>
        <w:jc w:val="right"/>
        <w:rPr>
          <w:b/>
          <w:bCs/>
          <w:sz w:val="18"/>
          <w:szCs w:val="18"/>
        </w:rPr>
      </w:pPr>
      <w:r w:rsidRPr="005C5BC3">
        <w:rPr>
          <w:b/>
          <w:bCs/>
          <w:sz w:val="18"/>
          <w:szCs w:val="18"/>
          <w:rtl/>
        </w:rPr>
        <w:t xml:space="preserve">وألف الإمام مسلم كتاب (المنفردات والوحدان) ويضم الرواة الذين ليس لهم إلا راوٍ واحد، ومعظم هذه الكتب نقلت إلينا نقلًا صحيحًا ومطبوعة بين أيدينا الآن، هذا مجمل عناية العلماء المسلمين في القرون الثلاثة الأولى للهجرة للسنة، ولمحة من مناهجهم تُبين صون هؤلاء العلماء لأحاديث رسول الله </w:t>
      </w:r>
      <w:r w:rsidRPr="005C5BC3">
        <w:rPr>
          <w:b/>
          <w:bCs/>
          <w:spacing w:val="20"/>
          <w:position w:val="-4"/>
          <w:sz w:val="18"/>
          <w:szCs w:val="18"/>
        </w:rPr>
        <w:sym w:font="AGA Arabesque" w:char="F065"/>
      </w:r>
      <w:r w:rsidRPr="005C5BC3">
        <w:rPr>
          <w:b/>
          <w:bCs/>
          <w:sz w:val="18"/>
          <w:szCs w:val="18"/>
          <w:rtl/>
        </w:rPr>
        <w:t>من وضع الوضَّاعين وتدلّيس المدلسين، ووهم الواهمين، وخطأ المخطئين عالم يعرف ما يقول.</w:t>
      </w:r>
    </w:p>
    <w:p w:rsidR="00112596" w:rsidRPr="00E136D9" w:rsidRDefault="00112596" w:rsidP="00FD050F">
      <w:pPr>
        <w:tabs>
          <w:tab w:val="left" w:pos="1177"/>
        </w:tabs>
        <w:spacing w:line="240" w:lineRule="auto"/>
        <w:jc w:val="center"/>
        <w:rPr>
          <w:rFonts w:ascii="Times New Roman" w:hAnsi="Times New Roman" w:cs="Times New Roman"/>
          <w:b/>
          <w:bCs/>
          <w:sz w:val="18"/>
          <w:szCs w:val="18"/>
          <w:rtl/>
        </w:rPr>
      </w:pPr>
      <w:r w:rsidRPr="00E136D9">
        <w:rPr>
          <w:rFonts w:ascii="Times New Roman" w:hAnsi="Times New Roman" w:cs="Times New Roman"/>
          <w:b/>
          <w:bCs/>
          <w:sz w:val="18"/>
          <w:szCs w:val="18"/>
          <w:rtl/>
        </w:rPr>
        <w:t>المراجع والمصادر</w:t>
      </w:r>
    </w:p>
    <w:p w:rsidR="00112596" w:rsidRPr="00E136D9" w:rsidRDefault="00112596" w:rsidP="00FD050F">
      <w:pPr>
        <w:pStyle w:val="ListParagraph"/>
        <w:numPr>
          <w:ilvl w:val="0"/>
          <w:numId w:val="1"/>
        </w:numPr>
        <w:spacing w:after="0" w:line="240" w:lineRule="auto"/>
        <w:ind w:left="647" w:hanging="363"/>
        <w:jc w:val="lowKashida"/>
        <w:rPr>
          <w:rFonts w:ascii="Times New Roman" w:hAnsi="Times New Roman" w:cs="Times New Roman"/>
          <w:b/>
          <w:bCs/>
          <w:sz w:val="18"/>
          <w:szCs w:val="18"/>
          <w:rtl/>
        </w:rPr>
      </w:pPr>
      <w:r w:rsidRPr="00E136D9">
        <w:rPr>
          <w:rFonts w:ascii="Times New Roman" w:hAnsi="Times New Roman" w:cs="Times New Roman"/>
          <w:b/>
          <w:bCs/>
          <w:sz w:val="18"/>
          <w:szCs w:val="18"/>
          <w:rtl/>
        </w:rPr>
        <w:t>محمد بن محمد أبو شهبه</w:t>
      </w:r>
      <w:r w:rsidRPr="00E136D9">
        <w:rPr>
          <w:rFonts w:ascii="Times New Roman" w:hAnsi="Times New Roman" w:cs="Times New Roman"/>
          <w:b/>
          <w:bCs/>
          <w:noProof/>
          <w:sz w:val="18"/>
          <w:szCs w:val="18"/>
          <w:rtl/>
          <w:lang w:eastAsia="ar-SA"/>
        </w:rPr>
        <w:t xml:space="preserve"> ، (الوسيط في علوم ومصطلح الحديث) </w:t>
      </w:r>
      <w:r w:rsidRPr="00E136D9">
        <w:rPr>
          <w:rFonts w:ascii="Times New Roman" w:hAnsi="Times New Roman" w:cs="Times New Roman"/>
          <w:b/>
          <w:bCs/>
          <w:sz w:val="18"/>
          <w:szCs w:val="18"/>
          <w:rtl/>
        </w:rPr>
        <w:t>، طبعة عالم المعرفة، جدة 1983م.</w:t>
      </w:r>
    </w:p>
    <w:p w:rsidR="00112596" w:rsidRPr="00E136D9" w:rsidRDefault="00112596" w:rsidP="00FD050F">
      <w:pPr>
        <w:pStyle w:val="ListParagraph"/>
        <w:numPr>
          <w:ilvl w:val="0"/>
          <w:numId w:val="1"/>
        </w:numPr>
        <w:spacing w:after="0" w:line="240" w:lineRule="auto"/>
        <w:ind w:left="647" w:hanging="363"/>
        <w:jc w:val="lowKashida"/>
        <w:rPr>
          <w:rFonts w:ascii="Times New Roman" w:hAnsi="Times New Roman" w:cs="Times New Roman"/>
          <w:b/>
          <w:bCs/>
          <w:sz w:val="18"/>
          <w:szCs w:val="18"/>
          <w:rtl/>
        </w:rPr>
      </w:pPr>
      <w:r w:rsidRPr="00E136D9">
        <w:rPr>
          <w:rFonts w:ascii="Times New Roman" w:hAnsi="Times New Roman" w:cs="Times New Roman"/>
          <w:b/>
          <w:bCs/>
          <w:sz w:val="18"/>
          <w:szCs w:val="18"/>
          <w:rtl/>
        </w:rPr>
        <w:t>عثمان بن عبد الرحمن ابن الصلاح</w:t>
      </w:r>
      <w:r w:rsidRPr="00E136D9">
        <w:rPr>
          <w:rFonts w:ascii="Times New Roman" w:hAnsi="Times New Roman" w:cs="Times New Roman"/>
          <w:b/>
          <w:bCs/>
          <w:noProof/>
          <w:sz w:val="18"/>
          <w:szCs w:val="18"/>
          <w:rtl/>
          <w:lang w:eastAsia="ar-SA"/>
        </w:rPr>
        <w:t xml:space="preserve"> ، (مقدمة ابن الصلاح ومحاسن الإصطلاح) </w:t>
      </w:r>
      <w:r w:rsidRPr="00E136D9">
        <w:rPr>
          <w:rFonts w:ascii="Times New Roman" w:hAnsi="Times New Roman" w:cs="Times New Roman"/>
          <w:b/>
          <w:bCs/>
          <w:sz w:val="18"/>
          <w:szCs w:val="18"/>
          <w:rtl/>
        </w:rPr>
        <w:t>، تحقيق: عائشة عبد الرحمن، الهيئة المصرية العامة للكتاب 1974م.</w:t>
      </w:r>
    </w:p>
    <w:p w:rsidR="00112596" w:rsidRPr="00E136D9" w:rsidRDefault="00112596" w:rsidP="00FD050F">
      <w:pPr>
        <w:pStyle w:val="ListParagraph"/>
        <w:numPr>
          <w:ilvl w:val="0"/>
          <w:numId w:val="1"/>
        </w:numPr>
        <w:spacing w:after="0" w:line="240" w:lineRule="auto"/>
        <w:ind w:left="647" w:hanging="363"/>
        <w:jc w:val="lowKashida"/>
        <w:rPr>
          <w:rFonts w:ascii="Times New Roman" w:hAnsi="Times New Roman" w:cs="Times New Roman"/>
          <w:b/>
          <w:bCs/>
          <w:sz w:val="18"/>
          <w:szCs w:val="18"/>
          <w:rtl/>
        </w:rPr>
      </w:pPr>
      <w:r w:rsidRPr="00E136D9">
        <w:rPr>
          <w:rFonts w:ascii="Times New Roman" w:hAnsi="Times New Roman" w:cs="Times New Roman"/>
          <w:b/>
          <w:bCs/>
          <w:sz w:val="18"/>
          <w:szCs w:val="18"/>
          <w:rtl/>
        </w:rPr>
        <w:t>نخبة من الباحثين</w:t>
      </w:r>
      <w:r w:rsidRPr="00E136D9">
        <w:rPr>
          <w:rFonts w:ascii="Times New Roman" w:hAnsi="Times New Roman" w:cs="Times New Roman"/>
          <w:b/>
          <w:bCs/>
          <w:noProof/>
          <w:sz w:val="18"/>
          <w:szCs w:val="18"/>
          <w:rtl/>
          <w:lang w:eastAsia="ar-SA"/>
        </w:rPr>
        <w:t xml:space="preserve"> ، (موسوعة علوم الحديث الشريف) </w:t>
      </w:r>
      <w:r w:rsidRPr="00E136D9">
        <w:rPr>
          <w:rFonts w:ascii="Times New Roman" w:hAnsi="Times New Roman" w:cs="Times New Roman"/>
          <w:b/>
          <w:bCs/>
          <w:sz w:val="18"/>
          <w:szCs w:val="18"/>
          <w:rtl/>
        </w:rPr>
        <w:t>، المجلس الأعلى للشئون الإسلامية، مصر  2003م.</w:t>
      </w:r>
    </w:p>
    <w:p w:rsidR="00112596" w:rsidRPr="00E136D9" w:rsidRDefault="00112596" w:rsidP="00FD050F">
      <w:pPr>
        <w:pStyle w:val="ListParagraph"/>
        <w:numPr>
          <w:ilvl w:val="0"/>
          <w:numId w:val="1"/>
        </w:numPr>
        <w:spacing w:after="0" w:line="240" w:lineRule="auto"/>
        <w:ind w:left="647" w:hanging="363"/>
        <w:jc w:val="lowKashida"/>
        <w:rPr>
          <w:rFonts w:ascii="Times New Roman" w:hAnsi="Times New Roman" w:cs="Times New Roman"/>
          <w:b/>
          <w:bCs/>
          <w:spacing w:val="-4"/>
          <w:sz w:val="18"/>
          <w:szCs w:val="18"/>
          <w:rtl/>
        </w:rPr>
      </w:pPr>
      <w:r>
        <w:rPr>
          <w:rFonts w:ascii="Times New Roman" w:hAnsi="Times New Roman" w:cs="Times New Roman"/>
          <w:b/>
          <w:bCs/>
          <w:spacing w:val="-4"/>
          <w:sz w:val="18"/>
          <w:szCs w:val="18"/>
          <w:rtl/>
        </w:rPr>
        <w:t xml:space="preserve">الجزائري، </w:t>
      </w:r>
      <w:r w:rsidRPr="00E136D9">
        <w:rPr>
          <w:rFonts w:ascii="Times New Roman" w:hAnsi="Times New Roman" w:cs="Times New Roman"/>
          <w:b/>
          <w:bCs/>
          <w:spacing w:val="-4"/>
          <w:sz w:val="18"/>
          <w:szCs w:val="18"/>
          <w:rtl/>
        </w:rPr>
        <w:t>طاهر بن صالح الجزائري</w:t>
      </w:r>
      <w:r w:rsidRPr="00E136D9">
        <w:rPr>
          <w:rFonts w:ascii="Times New Roman" w:hAnsi="Times New Roman" w:cs="Times New Roman"/>
          <w:b/>
          <w:bCs/>
          <w:noProof/>
          <w:sz w:val="18"/>
          <w:szCs w:val="18"/>
          <w:rtl/>
          <w:lang w:eastAsia="ar-SA"/>
        </w:rPr>
        <w:t xml:space="preserve"> ، (توجيه النظر إلى أصول الأثر) </w:t>
      </w:r>
      <w:r w:rsidRPr="00E136D9">
        <w:rPr>
          <w:rFonts w:ascii="Times New Roman" w:hAnsi="Times New Roman" w:cs="Times New Roman"/>
          <w:b/>
          <w:bCs/>
          <w:spacing w:val="-4"/>
          <w:sz w:val="18"/>
          <w:szCs w:val="18"/>
          <w:rtl/>
        </w:rPr>
        <w:t>، عناية: عبد الفتاح أبو غدة، دار المعرفة، بيروت 1972م.</w:t>
      </w:r>
    </w:p>
    <w:p w:rsidR="00112596" w:rsidRPr="00E136D9" w:rsidRDefault="00112596" w:rsidP="00FD050F">
      <w:pPr>
        <w:pStyle w:val="ListParagraph"/>
        <w:numPr>
          <w:ilvl w:val="0"/>
          <w:numId w:val="1"/>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 xml:space="preserve">الصالح، </w:t>
      </w:r>
      <w:r w:rsidRPr="00E136D9">
        <w:rPr>
          <w:rFonts w:ascii="Times New Roman" w:hAnsi="Times New Roman" w:cs="Times New Roman"/>
          <w:b/>
          <w:bCs/>
          <w:sz w:val="18"/>
          <w:szCs w:val="18"/>
          <w:rtl/>
        </w:rPr>
        <w:t>صبحي الصالح</w:t>
      </w:r>
      <w:r w:rsidRPr="00E136D9">
        <w:rPr>
          <w:rFonts w:ascii="Times New Roman" w:hAnsi="Times New Roman" w:cs="Times New Roman"/>
          <w:b/>
          <w:bCs/>
          <w:noProof/>
          <w:sz w:val="18"/>
          <w:szCs w:val="18"/>
          <w:rtl/>
          <w:lang w:eastAsia="ar-SA"/>
        </w:rPr>
        <w:t xml:space="preserve"> ، (علوم الحديث ومصطلحه) </w:t>
      </w:r>
      <w:r w:rsidRPr="00E136D9">
        <w:rPr>
          <w:rFonts w:ascii="Times New Roman" w:hAnsi="Times New Roman" w:cs="Times New Roman"/>
          <w:b/>
          <w:bCs/>
          <w:sz w:val="18"/>
          <w:szCs w:val="18"/>
          <w:rtl/>
        </w:rPr>
        <w:t>،  دار العلم للملايين 1969م..</w:t>
      </w:r>
    </w:p>
    <w:p w:rsidR="00112596" w:rsidRPr="00E136D9" w:rsidRDefault="00112596" w:rsidP="00FD050F">
      <w:pPr>
        <w:pStyle w:val="ListParagraph"/>
        <w:numPr>
          <w:ilvl w:val="0"/>
          <w:numId w:val="1"/>
        </w:numPr>
        <w:spacing w:after="0" w:line="240" w:lineRule="auto"/>
        <w:ind w:left="647" w:hanging="363"/>
        <w:jc w:val="lowKashida"/>
        <w:rPr>
          <w:rFonts w:ascii="Times New Roman" w:hAnsi="Times New Roman" w:cs="Times New Roman"/>
          <w:b/>
          <w:bCs/>
          <w:spacing w:val="-4"/>
          <w:sz w:val="18"/>
          <w:szCs w:val="18"/>
          <w:rtl/>
        </w:rPr>
      </w:pPr>
      <w:r>
        <w:rPr>
          <w:rFonts w:ascii="Times New Roman" w:hAnsi="Times New Roman" w:cs="Times New Roman"/>
          <w:b/>
          <w:bCs/>
          <w:spacing w:val="-4"/>
          <w:sz w:val="18"/>
          <w:szCs w:val="18"/>
          <w:rtl/>
        </w:rPr>
        <w:t xml:space="preserve">النهانوي، </w:t>
      </w:r>
      <w:r w:rsidRPr="00E136D9">
        <w:rPr>
          <w:rFonts w:ascii="Times New Roman" w:hAnsi="Times New Roman" w:cs="Times New Roman"/>
          <w:b/>
          <w:bCs/>
          <w:spacing w:val="-4"/>
          <w:sz w:val="18"/>
          <w:szCs w:val="18"/>
          <w:rtl/>
        </w:rPr>
        <w:t>ظفر أحمد النهانوي</w:t>
      </w:r>
      <w:r w:rsidRPr="00E136D9">
        <w:rPr>
          <w:rFonts w:ascii="Times New Roman" w:hAnsi="Times New Roman" w:cs="Times New Roman"/>
          <w:b/>
          <w:bCs/>
          <w:noProof/>
          <w:sz w:val="18"/>
          <w:szCs w:val="18"/>
          <w:rtl/>
          <w:lang w:eastAsia="ar-SA"/>
        </w:rPr>
        <w:t xml:space="preserve"> ، (قواعد في علوم الحديث) </w:t>
      </w:r>
      <w:r w:rsidRPr="00E136D9">
        <w:rPr>
          <w:rFonts w:ascii="Times New Roman" w:hAnsi="Times New Roman" w:cs="Times New Roman"/>
          <w:b/>
          <w:bCs/>
          <w:spacing w:val="-4"/>
          <w:sz w:val="18"/>
          <w:szCs w:val="18"/>
          <w:rtl/>
        </w:rPr>
        <w:t>، تحقيق: عبد الفتاح أبو غدة، مكتب المطبوعات الإسلامية 1984م.</w:t>
      </w:r>
    </w:p>
    <w:p w:rsidR="00112596" w:rsidRPr="00E136D9" w:rsidRDefault="00112596" w:rsidP="00FD050F">
      <w:pPr>
        <w:pStyle w:val="ListParagraph"/>
        <w:numPr>
          <w:ilvl w:val="0"/>
          <w:numId w:val="1"/>
        </w:numPr>
        <w:spacing w:after="0" w:line="240" w:lineRule="auto"/>
        <w:ind w:left="647" w:hanging="363"/>
        <w:jc w:val="lowKashida"/>
        <w:rPr>
          <w:rFonts w:ascii="Times New Roman" w:hAnsi="Times New Roman" w:cs="Times New Roman"/>
          <w:b/>
          <w:bCs/>
          <w:sz w:val="18"/>
          <w:szCs w:val="18"/>
          <w:rtl/>
        </w:rPr>
      </w:pPr>
      <w:r w:rsidRPr="00E136D9">
        <w:rPr>
          <w:rFonts w:ascii="Times New Roman" w:hAnsi="Times New Roman" w:cs="Times New Roman"/>
          <w:b/>
          <w:bCs/>
          <w:sz w:val="18"/>
          <w:szCs w:val="18"/>
          <w:rtl/>
        </w:rPr>
        <w:t>رفعت فوزي عبد المطلب</w:t>
      </w:r>
      <w:r w:rsidRPr="00E136D9">
        <w:rPr>
          <w:rFonts w:ascii="Times New Roman" w:hAnsi="Times New Roman" w:cs="Times New Roman"/>
          <w:b/>
          <w:bCs/>
          <w:noProof/>
          <w:sz w:val="18"/>
          <w:szCs w:val="18"/>
          <w:rtl/>
          <w:lang w:eastAsia="ar-SA"/>
        </w:rPr>
        <w:t xml:space="preserve"> ، (توثيق السنة في القرن الثاني الهجري أسسه واتجاهاته) </w:t>
      </w:r>
      <w:r w:rsidRPr="00E136D9">
        <w:rPr>
          <w:rFonts w:ascii="Times New Roman" w:hAnsi="Times New Roman" w:cs="Times New Roman"/>
          <w:b/>
          <w:bCs/>
          <w:sz w:val="18"/>
          <w:szCs w:val="18"/>
          <w:rtl/>
        </w:rPr>
        <w:t>، مكتبة الخانجي – القاهرة 1981م.</w:t>
      </w:r>
    </w:p>
    <w:p w:rsidR="00112596" w:rsidRPr="00E136D9" w:rsidRDefault="00112596" w:rsidP="00FD050F">
      <w:pPr>
        <w:pStyle w:val="ListParagraph"/>
        <w:numPr>
          <w:ilvl w:val="0"/>
          <w:numId w:val="1"/>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 xml:space="preserve">الطحان، </w:t>
      </w:r>
      <w:r w:rsidRPr="00E136D9">
        <w:rPr>
          <w:rFonts w:ascii="Times New Roman" w:hAnsi="Times New Roman" w:cs="Times New Roman"/>
          <w:b/>
          <w:bCs/>
          <w:sz w:val="18"/>
          <w:szCs w:val="18"/>
          <w:rtl/>
        </w:rPr>
        <w:t>محمود الطحان</w:t>
      </w:r>
      <w:r w:rsidRPr="00E136D9">
        <w:rPr>
          <w:rFonts w:ascii="Times New Roman" w:hAnsi="Times New Roman" w:cs="Times New Roman"/>
          <w:b/>
          <w:bCs/>
          <w:noProof/>
          <w:sz w:val="18"/>
          <w:szCs w:val="18"/>
          <w:rtl/>
          <w:lang w:eastAsia="ar-SA"/>
        </w:rPr>
        <w:t xml:space="preserve"> ، (أصول التخريج و دراسة الأسانيد) </w:t>
      </w:r>
      <w:r w:rsidRPr="00E136D9">
        <w:rPr>
          <w:rFonts w:ascii="Times New Roman" w:hAnsi="Times New Roman" w:cs="Times New Roman"/>
          <w:b/>
          <w:bCs/>
          <w:sz w:val="18"/>
          <w:szCs w:val="18"/>
          <w:rtl/>
        </w:rPr>
        <w:t>، مكتبة المعارف للنشر والتوزيع – الرياض 1996م.</w:t>
      </w:r>
    </w:p>
    <w:p w:rsidR="00112596" w:rsidRPr="00E136D9" w:rsidRDefault="00112596" w:rsidP="00FD050F">
      <w:pPr>
        <w:pStyle w:val="ListParagraph"/>
        <w:numPr>
          <w:ilvl w:val="0"/>
          <w:numId w:val="1"/>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 xml:space="preserve">البغدادي، </w:t>
      </w:r>
      <w:r w:rsidRPr="00E136D9">
        <w:rPr>
          <w:rFonts w:ascii="Times New Roman" w:hAnsi="Times New Roman" w:cs="Times New Roman"/>
          <w:b/>
          <w:bCs/>
          <w:sz w:val="18"/>
          <w:szCs w:val="18"/>
          <w:rtl/>
        </w:rPr>
        <w:t>أحمد بن علي بن ثابت الخطيب البغدادي</w:t>
      </w:r>
      <w:r w:rsidRPr="00E136D9">
        <w:rPr>
          <w:rFonts w:ascii="Times New Roman" w:hAnsi="Times New Roman" w:cs="Times New Roman"/>
          <w:b/>
          <w:bCs/>
          <w:noProof/>
          <w:sz w:val="18"/>
          <w:szCs w:val="18"/>
          <w:rtl/>
          <w:lang w:eastAsia="ar-SA"/>
        </w:rPr>
        <w:t xml:space="preserve"> ، (الرحلة في طلب الحديث) </w:t>
      </w:r>
      <w:r w:rsidRPr="00E136D9">
        <w:rPr>
          <w:rFonts w:ascii="Times New Roman" w:hAnsi="Times New Roman" w:cs="Times New Roman"/>
          <w:b/>
          <w:bCs/>
          <w:sz w:val="18"/>
          <w:szCs w:val="18"/>
          <w:rtl/>
        </w:rPr>
        <w:t>، تحقيق: نور الدين عتر، دار الكتب العلمية – بيروت 1975م.</w:t>
      </w:r>
    </w:p>
    <w:p w:rsidR="00112596" w:rsidRPr="00E136D9" w:rsidRDefault="00112596" w:rsidP="00FD050F">
      <w:pPr>
        <w:pStyle w:val="ListParagraph"/>
        <w:numPr>
          <w:ilvl w:val="0"/>
          <w:numId w:val="1"/>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 xml:space="preserve">الخطيب، </w:t>
      </w:r>
      <w:r w:rsidRPr="00E136D9">
        <w:rPr>
          <w:rFonts w:ascii="Times New Roman" w:hAnsi="Times New Roman" w:cs="Times New Roman"/>
          <w:b/>
          <w:bCs/>
          <w:sz w:val="18"/>
          <w:szCs w:val="18"/>
          <w:rtl/>
        </w:rPr>
        <w:t>محمد عجاج الخطيب</w:t>
      </w:r>
      <w:r w:rsidRPr="00E136D9">
        <w:rPr>
          <w:rFonts w:ascii="Times New Roman" w:hAnsi="Times New Roman" w:cs="Times New Roman"/>
          <w:b/>
          <w:bCs/>
          <w:noProof/>
          <w:sz w:val="18"/>
          <w:szCs w:val="18"/>
          <w:rtl/>
          <w:lang w:eastAsia="ar-SA"/>
        </w:rPr>
        <w:t xml:space="preserve"> ، (السنة قبل التدوين) </w:t>
      </w:r>
      <w:r w:rsidRPr="00E136D9">
        <w:rPr>
          <w:rFonts w:ascii="Times New Roman" w:hAnsi="Times New Roman" w:cs="Times New Roman"/>
          <w:b/>
          <w:bCs/>
          <w:sz w:val="18"/>
          <w:szCs w:val="18"/>
          <w:rtl/>
        </w:rPr>
        <w:t>،  دار الفكر 1971م.</w:t>
      </w:r>
    </w:p>
    <w:p w:rsidR="00112596" w:rsidRPr="00E136D9" w:rsidRDefault="00112596" w:rsidP="00FD050F">
      <w:pPr>
        <w:pStyle w:val="ListParagraph"/>
        <w:numPr>
          <w:ilvl w:val="0"/>
          <w:numId w:val="1"/>
        </w:numPr>
        <w:spacing w:after="0" w:line="240" w:lineRule="auto"/>
        <w:ind w:left="647" w:hanging="363"/>
        <w:jc w:val="lowKashida"/>
        <w:rPr>
          <w:rFonts w:ascii="Times New Roman" w:hAnsi="Times New Roman" w:cs="Times New Roman"/>
          <w:b/>
          <w:bCs/>
          <w:sz w:val="18"/>
          <w:szCs w:val="18"/>
        </w:rPr>
      </w:pPr>
      <w:r w:rsidRPr="00E136D9">
        <w:rPr>
          <w:rFonts w:ascii="Times New Roman" w:hAnsi="Times New Roman" w:cs="Times New Roman"/>
          <w:b/>
          <w:bCs/>
          <w:sz w:val="18"/>
          <w:szCs w:val="18"/>
          <w:rtl/>
        </w:rPr>
        <w:t>رفعت فوزي عبد المطلب</w:t>
      </w:r>
      <w:r w:rsidRPr="00E136D9">
        <w:rPr>
          <w:rFonts w:ascii="Times New Roman" w:hAnsi="Times New Roman" w:cs="Times New Roman"/>
          <w:b/>
          <w:bCs/>
          <w:noProof/>
          <w:sz w:val="18"/>
          <w:szCs w:val="18"/>
          <w:rtl/>
          <w:lang w:eastAsia="ar-SA"/>
        </w:rPr>
        <w:t xml:space="preserve"> ، (المدخل إلى منهاج المحدثين) </w:t>
      </w:r>
    </w:p>
    <w:p w:rsidR="00112596" w:rsidRPr="00E136D9" w:rsidRDefault="00112596" w:rsidP="00FD050F">
      <w:pPr>
        <w:pStyle w:val="ListParagraph"/>
        <w:spacing w:after="0" w:line="240" w:lineRule="auto"/>
        <w:ind w:left="646"/>
        <w:jc w:val="lowKashida"/>
        <w:rPr>
          <w:rFonts w:ascii="Times New Roman" w:hAnsi="Times New Roman" w:cs="Times New Roman"/>
          <w:b/>
          <w:bCs/>
          <w:sz w:val="18"/>
          <w:szCs w:val="18"/>
          <w:rtl/>
        </w:rPr>
      </w:pPr>
      <w:r w:rsidRPr="00E136D9">
        <w:rPr>
          <w:rFonts w:ascii="Times New Roman" w:hAnsi="Times New Roman" w:cs="Times New Roman"/>
          <w:b/>
          <w:bCs/>
          <w:sz w:val="18"/>
          <w:szCs w:val="18"/>
          <w:rtl/>
        </w:rPr>
        <w:t>،  دار السلام – القاهرة 2001م.</w:t>
      </w:r>
    </w:p>
    <w:p w:rsidR="00112596" w:rsidRPr="00E136D9" w:rsidRDefault="00112596" w:rsidP="00FD050F">
      <w:pPr>
        <w:pStyle w:val="ListParagraph"/>
        <w:numPr>
          <w:ilvl w:val="0"/>
          <w:numId w:val="1"/>
        </w:numPr>
        <w:spacing w:after="0" w:line="240" w:lineRule="auto"/>
        <w:ind w:left="647" w:hanging="363"/>
        <w:jc w:val="lowKashida"/>
        <w:rPr>
          <w:rFonts w:ascii="Times New Roman" w:hAnsi="Times New Roman" w:cs="Times New Roman"/>
          <w:b/>
          <w:bCs/>
          <w:sz w:val="18"/>
          <w:szCs w:val="18"/>
          <w:rtl/>
        </w:rPr>
      </w:pPr>
      <w:r w:rsidRPr="00E136D9">
        <w:rPr>
          <w:rFonts w:ascii="Times New Roman" w:hAnsi="Times New Roman" w:cs="Times New Roman"/>
          <w:b/>
          <w:bCs/>
          <w:sz w:val="18"/>
          <w:szCs w:val="18"/>
          <w:rtl/>
        </w:rPr>
        <w:t>رفعت فوزي عبد المطلب</w:t>
      </w:r>
      <w:r w:rsidRPr="00E136D9">
        <w:rPr>
          <w:rFonts w:ascii="Times New Roman" w:hAnsi="Times New Roman" w:cs="Times New Roman"/>
          <w:b/>
          <w:bCs/>
          <w:noProof/>
          <w:sz w:val="18"/>
          <w:szCs w:val="18"/>
          <w:rtl/>
          <w:lang w:eastAsia="ar-SA"/>
        </w:rPr>
        <w:t xml:space="preserve"> ، ( ابن أبي حاتم الرازي وأثره في علوم الحديث) </w:t>
      </w:r>
      <w:r w:rsidRPr="00E136D9">
        <w:rPr>
          <w:rFonts w:ascii="Times New Roman" w:hAnsi="Times New Roman" w:cs="Times New Roman"/>
          <w:b/>
          <w:bCs/>
          <w:sz w:val="18"/>
          <w:szCs w:val="18"/>
          <w:rtl/>
        </w:rPr>
        <w:t>، مكتبة الخانجي - القاهرة 1994م.</w:t>
      </w:r>
    </w:p>
    <w:p w:rsidR="00112596" w:rsidRPr="005C5BC3" w:rsidRDefault="00112596" w:rsidP="00FD050F">
      <w:pPr>
        <w:pStyle w:val="ListParagraph"/>
        <w:spacing w:after="0" w:line="240" w:lineRule="auto"/>
        <w:ind w:left="646"/>
        <w:jc w:val="lowKashida"/>
        <w:rPr>
          <w:rFonts w:ascii="Times New Roman" w:hAnsi="Times New Roman" w:cs="Times New Roman"/>
          <w:b/>
          <w:bCs/>
          <w:sz w:val="18"/>
          <w:szCs w:val="18"/>
          <w:rtl/>
        </w:rPr>
      </w:pPr>
      <w:r>
        <w:rPr>
          <w:rFonts w:ascii="Times New Roman" w:hAnsi="Times New Roman" w:cs="Times New Roman"/>
          <w:b/>
          <w:bCs/>
          <w:sz w:val="18"/>
          <w:szCs w:val="18"/>
          <w:rtl/>
        </w:rPr>
        <w:t xml:space="preserve">الصنعاني، </w:t>
      </w:r>
      <w:r w:rsidRPr="00E136D9">
        <w:rPr>
          <w:rFonts w:ascii="Times New Roman" w:hAnsi="Times New Roman" w:cs="Times New Roman"/>
          <w:b/>
          <w:bCs/>
          <w:sz w:val="18"/>
          <w:szCs w:val="18"/>
          <w:rtl/>
        </w:rPr>
        <w:t>محمد بن إسماعيل الأمير الصنعاني</w:t>
      </w:r>
      <w:r w:rsidRPr="00E136D9">
        <w:rPr>
          <w:rFonts w:ascii="Times New Roman" w:hAnsi="Times New Roman" w:cs="Times New Roman"/>
          <w:b/>
          <w:bCs/>
          <w:noProof/>
          <w:sz w:val="18"/>
          <w:szCs w:val="18"/>
          <w:rtl/>
          <w:lang w:eastAsia="ar-SA"/>
        </w:rPr>
        <w:t xml:space="preserve"> ، (توضيح الأفكار لمعاني تنقيح الأنظار) </w:t>
      </w:r>
      <w:r w:rsidRPr="00E136D9">
        <w:rPr>
          <w:rFonts w:ascii="Times New Roman" w:hAnsi="Times New Roman" w:cs="Times New Roman"/>
          <w:b/>
          <w:bCs/>
          <w:sz w:val="18"/>
          <w:szCs w:val="18"/>
          <w:rtl/>
        </w:rPr>
        <w:t>،  دار إحياء التراث العربي 1945م.</w:t>
      </w:r>
    </w:p>
    <w:p w:rsidR="00112596" w:rsidRPr="005C5BC3" w:rsidRDefault="00112596" w:rsidP="005C5BC3">
      <w:pPr>
        <w:pStyle w:val="a"/>
        <w:spacing w:after="120" w:line="240" w:lineRule="auto"/>
        <w:ind w:left="567"/>
        <w:jc w:val="lowKashida"/>
        <w:rPr>
          <w:rFonts w:ascii="Times New Roman" w:hAnsi="Times New Roman" w:cs="Times New Roman"/>
          <w:b/>
          <w:bCs/>
          <w:sz w:val="18"/>
          <w:szCs w:val="18"/>
        </w:rPr>
      </w:pPr>
    </w:p>
    <w:p w:rsidR="00112596" w:rsidRPr="005C5BC3" w:rsidRDefault="00112596" w:rsidP="005C5BC3">
      <w:pPr>
        <w:spacing w:line="240" w:lineRule="auto"/>
        <w:rPr>
          <w:rFonts w:ascii="Times New Roman" w:hAnsi="Times New Roman" w:cs="Times New Roman"/>
          <w:b/>
          <w:bCs/>
          <w:sz w:val="18"/>
          <w:szCs w:val="18"/>
        </w:rPr>
      </w:pPr>
    </w:p>
    <w:sectPr w:rsidR="00112596" w:rsidRPr="005C5BC3" w:rsidSect="005C5BC3">
      <w:type w:val="continuous"/>
      <w:pgSz w:w="11906" w:h="16838"/>
      <w:pgMar w:top="1440" w:right="1440" w:bottom="1440" w:left="1440" w:header="720" w:footer="720" w:gutter="0"/>
      <w:cols w:num="2"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428" w:rsidRDefault="007A6428" w:rsidP="005C5BC3">
      <w:pPr>
        <w:spacing w:after="0" w:line="240" w:lineRule="auto"/>
      </w:pPr>
      <w:r>
        <w:separator/>
      </w:r>
    </w:p>
  </w:endnote>
  <w:endnote w:type="continuationSeparator" w:id="0">
    <w:p w:rsidR="007A6428" w:rsidRDefault="007A6428" w:rsidP="005C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Mateen">
    <w:altName w:val="Times New Roman"/>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GA Arabesque">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428" w:rsidRDefault="007A6428" w:rsidP="005C5BC3">
      <w:pPr>
        <w:spacing w:after="0" w:line="240" w:lineRule="auto"/>
      </w:pPr>
      <w:r>
        <w:separator/>
      </w:r>
    </w:p>
  </w:footnote>
  <w:footnote w:type="continuationSeparator" w:id="0">
    <w:p w:rsidR="007A6428" w:rsidRDefault="007A6428" w:rsidP="005C5B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71B0F"/>
    <w:multiLevelType w:val="hybridMultilevel"/>
    <w:tmpl w:val="391C3BB6"/>
    <w:lvl w:ilvl="0" w:tplc="88F46F38">
      <w:start w:val="1"/>
      <w:numFmt w:val="decimal"/>
      <w:lvlText w:val="%1."/>
      <w:lvlJc w:val="left"/>
      <w:pPr>
        <w:tabs>
          <w:tab w:val="num" w:pos="644"/>
        </w:tabs>
        <w:ind w:left="644" w:hanging="360"/>
      </w:pPr>
      <w:rPr>
        <w:rFonts w:cs="Times New Roman" w:hint="default"/>
        <w:color w:val="auto"/>
      </w:rPr>
    </w:lvl>
    <w:lvl w:ilvl="1" w:tplc="306611FA">
      <w:start w:val="13"/>
      <w:numFmt w:val="decimal"/>
      <w:lvlText w:val="%2."/>
      <w:lvlJc w:val="left"/>
      <w:pPr>
        <w:tabs>
          <w:tab w:val="num" w:pos="646"/>
        </w:tabs>
        <w:ind w:left="646" w:hanging="362"/>
      </w:pPr>
      <w:rPr>
        <w:rFonts w:cs="AL-Mateen" w:hint="default"/>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BC3"/>
    <w:rsid w:val="00112596"/>
    <w:rsid w:val="00262B26"/>
    <w:rsid w:val="00380A67"/>
    <w:rsid w:val="0056437F"/>
    <w:rsid w:val="005A1A36"/>
    <w:rsid w:val="005C5BC3"/>
    <w:rsid w:val="005E6CC1"/>
    <w:rsid w:val="007A6428"/>
    <w:rsid w:val="00883366"/>
    <w:rsid w:val="00934886"/>
    <w:rsid w:val="00974B7F"/>
    <w:rsid w:val="009B0961"/>
    <w:rsid w:val="00D60765"/>
    <w:rsid w:val="00E136D9"/>
    <w:rsid w:val="00FD05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66"/>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5C5BC3"/>
    <w:pPr>
      <w:suppressAutoHyphens/>
      <w:jc w:val="center"/>
    </w:pPr>
    <w:rPr>
      <w:rFonts w:ascii="Times New Roman" w:eastAsia="SimSun" w:hAnsi="Times New Roman" w:cs="Times New Roman"/>
      <w:lang w:eastAsia="zh-CN"/>
    </w:rPr>
  </w:style>
  <w:style w:type="paragraph" w:customStyle="1" w:styleId="Author">
    <w:name w:val="Author"/>
    <w:uiPriority w:val="99"/>
    <w:rsid w:val="005C5BC3"/>
    <w:pPr>
      <w:suppressAutoHyphens/>
      <w:spacing w:before="360" w:after="40"/>
      <w:jc w:val="center"/>
    </w:pPr>
    <w:rPr>
      <w:rFonts w:ascii="Times New Roman" w:eastAsia="SimSun" w:hAnsi="Times New Roman" w:cs="Times New Roman"/>
      <w:sz w:val="22"/>
      <w:szCs w:val="22"/>
    </w:rPr>
  </w:style>
  <w:style w:type="paragraph" w:styleId="ListParagraph">
    <w:name w:val="List Paragraph"/>
    <w:basedOn w:val="Normal"/>
    <w:uiPriority w:val="99"/>
    <w:qFormat/>
    <w:rsid w:val="005C5BC3"/>
    <w:pPr>
      <w:ind w:left="720"/>
    </w:pPr>
  </w:style>
  <w:style w:type="paragraph" w:styleId="NormalWeb">
    <w:name w:val="Normal (Web)"/>
    <w:basedOn w:val="Normal"/>
    <w:uiPriority w:val="99"/>
    <w:rsid w:val="005C5BC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سرد الفقرات"/>
    <w:basedOn w:val="Normal"/>
    <w:uiPriority w:val="99"/>
    <w:rsid w:val="005C5BC3"/>
    <w:pPr>
      <w:ind w:left="720"/>
    </w:pPr>
    <w:rPr>
      <w:rFonts w:eastAsia="Times New Roman"/>
    </w:rPr>
  </w:style>
  <w:style w:type="paragraph" w:styleId="Header">
    <w:name w:val="header"/>
    <w:basedOn w:val="Normal"/>
    <w:link w:val="HeaderChar"/>
    <w:uiPriority w:val="99"/>
    <w:rsid w:val="005C5BC3"/>
    <w:pPr>
      <w:tabs>
        <w:tab w:val="center" w:pos="4153"/>
        <w:tab w:val="right" w:pos="8306"/>
      </w:tabs>
      <w:spacing w:after="0" w:line="240" w:lineRule="auto"/>
    </w:pPr>
    <w:rPr>
      <w:rFonts w:ascii="Times New Roman" w:eastAsia="Times New Roman" w:hAnsi="Times New Roman" w:cs="Simplified Arabic"/>
      <w:sz w:val="28"/>
      <w:szCs w:val="28"/>
    </w:rPr>
  </w:style>
  <w:style w:type="character" w:customStyle="1" w:styleId="HeaderChar">
    <w:name w:val="Header Char"/>
    <w:link w:val="Header"/>
    <w:uiPriority w:val="99"/>
    <w:locked/>
    <w:rsid w:val="005C5BC3"/>
    <w:rPr>
      <w:rFonts w:ascii="Times New Roman" w:hAnsi="Times New Roman" w:cs="Simplified Arabic"/>
      <w:sz w:val="28"/>
      <w:szCs w:val="28"/>
      <w:lang w:bidi="ar-SA"/>
    </w:rPr>
  </w:style>
  <w:style w:type="paragraph" w:styleId="Footer">
    <w:name w:val="footer"/>
    <w:basedOn w:val="Normal"/>
    <w:link w:val="FooterChar"/>
    <w:uiPriority w:val="99"/>
    <w:semiHidden/>
    <w:rsid w:val="005C5BC3"/>
    <w:pPr>
      <w:tabs>
        <w:tab w:val="center" w:pos="4513"/>
        <w:tab w:val="right" w:pos="9026"/>
      </w:tabs>
      <w:spacing w:after="0" w:line="240" w:lineRule="auto"/>
    </w:pPr>
  </w:style>
  <w:style w:type="character" w:customStyle="1" w:styleId="FooterChar">
    <w:name w:val="Footer Char"/>
    <w:link w:val="Footer"/>
    <w:uiPriority w:val="99"/>
    <w:semiHidden/>
    <w:locked/>
    <w:rsid w:val="005C5BC3"/>
    <w:rPr>
      <w:rFonts w:cs="Times New Roman"/>
    </w:rPr>
  </w:style>
  <w:style w:type="character" w:styleId="Hyperlink">
    <w:name w:val="Hyperlink"/>
    <w:uiPriority w:val="99"/>
    <w:unhideWhenUsed/>
    <w:rsid w:val="00974B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ed.mahdey@mediu.w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1922</Words>
  <Characters>10960</Characters>
  <Application>Microsoft Office Word</Application>
  <DocSecurity>0</DocSecurity>
  <Lines>91</Lines>
  <Paragraphs>25</Paragraphs>
  <ScaleCrop>false</ScaleCrop>
  <Company/>
  <LinksUpToDate>false</LinksUpToDate>
  <CharactersWithSpaces>12857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Miso</dc:creator>
  <cp:keywords/>
  <dc:description/>
  <cp:lastModifiedBy>sh-h</cp:lastModifiedBy>
  <cp:revision>4</cp:revision>
  <dcterms:created xsi:type="dcterms:W3CDTF">2013-06-19T00:08:00Z</dcterms:created>
  <dcterms:modified xsi:type="dcterms:W3CDTF">2013-08-25T12:42:00Z</dcterms:modified>
</cp:coreProperties>
</file>