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96" w:rsidRPr="001E3172" w:rsidRDefault="008604A9" w:rsidP="008604A9">
      <w:pPr>
        <w:jc w:val="center"/>
        <w:rPr>
          <w:rFonts w:asciiTheme="majorBidi" w:eastAsia="Calibri" w:hAnsiTheme="majorBidi" w:cstheme="majorBidi"/>
          <w:b/>
          <w:bCs/>
          <w:sz w:val="44"/>
          <w:szCs w:val="44"/>
          <w:rtl/>
        </w:rPr>
      </w:pPr>
      <w:r>
        <w:rPr>
          <w:rFonts w:asciiTheme="majorBidi" w:eastAsia="Calibri" w:hAnsiTheme="majorBidi" w:cstheme="majorBidi" w:hint="cs"/>
          <w:b/>
          <w:bCs/>
          <w:sz w:val="44"/>
          <w:szCs w:val="44"/>
          <w:rtl/>
        </w:rPr>
        <w:t>الأصل الثالث عند المعتزلة</w:t>
      </w:r>
      <w:r w:rsidR="008A267C">
        <w:rPr>
          <w:rFonts w:asciiTheme="majorBidi" w:eastAsia="Calibri" w:hAnsiTheme="majorBidi" w:cstheme="majorBidi" w:hint="cs"/>
          <w:b/>
          <w:bCs/>
          <w:sz w:val="44"/>
          <w:szCs w:val="44"/>
          <w:rtl/>
        </w:rPr>
        <w:t xml:space="preserve"> </w:t>
      </w:r>
      <w:r w:rsidR="00377096" w:rsidRPr="001E3172">
        <w:rPr>
          <w:rFonts w:asciiTheme="majorBidi" w:eastAsia="Calibri" w:hAnsiTheme="majorBidi" w:cstheme="majorBidi"/>
          <w:b/>
          <w:bCs/>
          <w:sz w:val="44"/>
          <w:szCs w:val="44"/>
          <w:rtl/>
        </w:rPr>
        <w:t>القول بالمنزلة بين المنزلتين</w:t>
      </w:r>
    </w:p>
    <w:p w:rsidR="001E3172" w:rsidRDefault="001E3172" w:rsidP="001E3172">
      <w:pPr>
        <w:jc w:val="center"/>
        <w:rPr>
          <w:rFonts w:asciiTheme="majorBidi" w:eastAsia="Calibri" w:hAnsiTheme="majorBidi" w:cstheme="majorBidi"/>
          <w:b/>
          <w:bCs/>
          <w:i/>
          <w:iCs/>
          <w:sz w:val="18"/>
          <w:szCs w:val="18"/>
          <w:rtl/>
          <w:lang w:bidi="ar-EG"/>
        </w:rPr>
      </w:pPr>
      <w:r w:rsidRPr="00FE0D55">
        <w:rPr>
          <w:rFonts w:asciiTheme="majorBidi" w:hAnsiTheme="majorBidi" w:cstheme="majorBidi" w:hint="cs"/>
          <w:b/>
          <w:bCs/>
          <w:i/>
          <w:iCs/>
          <w:sz w:val="18"/>
          <w:szCs w:val="18"/>
          <w:rtl/>
        </w:rPr>
        <w:t>بحث فى :</w:t>
      </w:r>
      <w:r w:rsidRPr="00FE0D55">
        <w:rPr>
          <w:rFonts w:asciiTheme="majorBidi" w:hAnsiTheme="majorBidi" w:cstheme="majorBidi"/>
          <w:b/>
          <w:bCs/>
          <w:i/>
          <w:iCs/>
          <w:sz w:val="18"/>
          <w:szCs w:val="18"/>
          <w:rtl/>
        </w:rPr>
        <w:t xml:space="preserve"> </w:t>
      </w:r>
      <w:r w:rsidRPr="00FE0D55">
        <w:rPr>
          <w:rFonts w:asciiTheme="majorBidi" w:eastAsia="Calibri" w:hAnsiTheme="majorBidi" w:cstheme="majorBidi" w:hint="cs"/>
          <w:b/>
          <w:bCs/>
          <w:i/>
          <w:iCs/>
          <w:sz w:val="18"/>
          <w:szCs w:val="18"/>
          <w:rtl/>
          <w:lang w:bidi="ar-EG"/>
        </w:rPr>
        <w:t>بقية الفرق المنتسبه للاسلام</w:t>
      </w:r>
    </w:p>
    <w:p w:rsidR="00962425" w:rsidRDefault="00962425" w:rsidP="001E3172">
      <w:pPr>
        <w:jc w:val="center"/>
        <w:rPr>
          <w:rFonts w:asciiTheme="majorBidi" w:eastAsia="Calibri" w:hAnsiTheme="majorBidi" w:cstheme="majorBidi"/>
          <w:b/>
          <w:bCs/>
          <w:i/>
          <w:iCs/>
          <w:sz w:val="18"/>
          <w:szCs w:val="18"/>
          <w:rtl/>
          <w:lang w:bidi="ar-EG"/>
        </w:rPr>
      </w:pPr>
    </w:p>
    <w:p w:rsidR="00962425" w:rsidRPr="00FE0D55" w:rsidRDefault="00962425" w:rsidP="001E3172">
      <w:pPr>
        <w:jc w:val="center"/>
        <w:rPr>
          <w:rFonts w:asciiTheme="majorBidi" w:eastAsia="Calibri" w:hAnsiTheme="majorBidi" w:cstheme="majorBidi"/>
          <w:b/>
          <w:bCs/>
          <w:i/>
          <w:iCs/>
          <w:color w:val="4F81BD"/>
          <w:sz w:val="18"/>
          <w:szCs w:val="18"/>
          <w:rtl/>
          <w:lang w:bidi="ar-EG"/>
        </w:rPr>
      </w:pPr>
    </w:p>
    <w:p w:rsidR="001E3172" w:rsidRPr="00962425" w:rsidRDefault="001E3172" w:rsidP="00962425">
      <w:pPr>
        <w:pStyle w:val="Author"/>
        <w:tabs>
          <w:tab w:val="left" w:pos="4228"/>
          <w:tab w:val="center" w:pos="5244"/>
        </w:tabs>
        <w:bidi/>
        <w:spacing w:before="0" w:after="0"/>
        <w:rPr>
          <w:rFonts w:asciiTheme="majorBidi" w:hAnsiTheme="majorBidi" w:cstheme="majorBidi"/>
          <w:b/>
          <w:bCs/>
          <w:i/>
          <w:iCs/>
          <w:sz w:val="18"/>
          <w:szCs w:val="18"/>
          <w:lang w:eastAsia="zh-CN"/>
        </w:rPr>
      </w:pPr>
      <w:r w:rsidRPr="00FE0D55">
        <w:rPr>
          <w:rFonts w:asciiTheme="majorBidi" w:hAnsiTheme="majorBidi" w:cstheme="majorBidi"/>
          <w:b/>
          <w:bCs/>
          <w:i/>
          <w:iCs/>
          <w:sz w:val="18"/>
          <w:szCs w:val="18"/>
          <w:rtl/>
          <w:lang w:eastAsia="zh-CN"/>
        </w:rPr>
        <w:t xml:space="preserve">إعداد / </w:t>
      </w:r>
      <w:r w:rsidR="00962425" w:rsidRPr="00962425">
        <w:rPr>
          <w:rFonts w:asciiTheme="majorBidi" w:hAnsiTheme="majorBidi" w:cstheme="majorBidi"/>
          <w:b/>
          <w:bCs/>
          <w:i/>
          <w:iCs/>
          <w:sz w:val="18"/>
          <w:szCs w:val="18"/>
          <w:rtl/>
          <w:lang w:eastAsia="zh-CN"/>
        </w:rPr>
        <w:t>شيماء عبد المجيد زهران</w:t>
      </w:r>
    </w:p>
    <w:p w:rsidR="001E3172" w:rsidRPr="00962425" w:rsidRDefault="001E3172" w:rsidP="00962425">
      <w:pPr>
        <w:pStyle w:val="Affiliation"/>
        <w:tabs>
          <w:tab w:val="left" w:pos="4353"/>
          <w:tab w:val="center" w:pos="5244"/>
        </w:tabs>
        <w:bidi/>
        <w:rPr>
          <w:rFonts w:asciiTheme="majorBidi" w:hAnsiTheme="majorBidi" w:cstheme="majorBidi"/>
          <w:b/>
          <w:bCs/>
          <w:i/>
          <w:iCs/>
          <w:sz w:val="18"/>
          <w:szCs w:val="18"/>
        </w:rPr>
      </w:pPr>
      <w:r w:rsidRPr="00FE0D55">
        <w:rPr>
          <w:rFonts w:asciiTheme="majorBidi" w:hAnsiTheme="majorBidi" w:cstheme="majorBidi"/>
          <w:b/>
          <w:bCs/>
          <w:i/>
          <w:iCs/>
          <w:sz w:val="18"/>
          <w:szCs w:val="18"/>
          <w:rtl/>
        </w:rPr>
        <w:t>قسم الدعوة وأصول الدين</w:t>
      </w:r>
    </w:p>
    <w:p w:rsidR="001E3172" w:rsidRPr="00FE0D55" w:rsidRDefault="001E3172" w:rsidP="00962425">
      <w:pPr>
        <w:pStyle w:val="Affiliation"/>
        <w:bidi/>
        <w:rPr>
          <w:rFonts w:asciiTheme="majorBidi" w:hAnsiTheme="majorBidi" w:cstheme="majorBidi"/>
          <w:b/>
          <w:bCs/>
          <w:i/>
          <w:iCs/>
          <w:sz w:val="18"/>
          <w:szCs w:val="18"/>
        </w:rPr>
      </w:pPr>
      <w:r w:rsidRPr="00FE0D55">
        <w:rPr>
          <w:rFonts w:asciiTheme="majorBidi" w:hAnsiTheme="majorBidi" w:cstheme="majorBidi"/>
          <w:b/>
          <w:bCs/>
          <w:i/>
          <w:iCs/>
          <w:sz w:val="18"/>
          <w:szCs w:val="18"/>
          <w:rtl/>
        </w:rPr>
        <w:t>كلية العلوم الإسلامية – جامعة المدينة العالمية</w:t>
      </w:r>
    </w:p>
    <w:p w:rsidR="001E3172" w:rsidRPr="00FE0D55" w:rsidRDefault="001E3172" w:rsidP="00962425">
      <w:pPr>
        <w:pStyle w:val="Affiliation"/>
        <w:tabs>
          <w:tab w:val="left" w:pos="4679"/>
          <w:tab w:val="center" w:pos="5244"/>
        </w:tabs>
        <w:bidi/>
        <w:rPr>
          <w:rFonts w:asciiTheme="majorBidi" w:hAnsiTheme="majorBidi" w:cstheme="majorBidi"/>
          <w:b/>
          <w:bCs/>
          <w:i/>
          <w:iCs/>
          <w:sz w:val="18"/>
          <w:szCs w:val="18"/>
          <w:rtl/>
        </w:rPr>
      </w:pPr>
      <w:r w:rsidRPr="00FE0D55">
        <w:rPr>
          <w:rFonts w:asciiTheme="majorBidi" w:hAnsiTheme="majorBidi" w:cstheme="majorBidi"/>
          <w:b/>
          <w:bCs/>
          <w:i/>
          <w:iCs/>
          <w:sz w:val="18"/>
          <w:szCs w:val="18"/>
          <w:rtl/>
        </w:rPr>
        <w:t>شاه علم - ماليزيا</w:t>
      </w:r>
    </w:p>
    <w:p w:rsidR="00FE3B9F" w:rsidRPr="00962425" w:rsidRDefault="00DB5069" w:rsidP="00962425">
      <w:pPr>
        <w:tabs>
          <w:tab w:val="left" w:pos="4050"/>
        </w:tabs>
        <w:jc w:val="center"/>
        <w:rPr>
          <w:rFonts w:asciiTheme="majorBidi" w:eastAsia="SimSun" w:hAnsiTheme="majorBidi" w:cstheme="majorBidi"/>
          <w:b/>
          <w:bCs/>
          <w:i/>
          <w:iCs/>
          <w:sz w:val="18"/>
          <w:szCs w:val="18"/>
          <w:rtl/>
          <w:lang w:eastAsia="zh-CN"/>
        </w:rPr>
      </w:pPr>
      <w:hyperlink r:id="rId8" w:history="1">
        <w:r w:rsidR="00962425" w:rsidRPr="00962425">
          <w:rPr>
            <w:rFonts w:asciiTheme="majorBidi" w:eastAsia="SimSun" w:hAnsiTheme="majorBidi" w:cstheme="majorBidi"/>
            <w:i/>
            <w:iCs/>
            <w:sz w:val="18"/>
            <w:szCs w:val="18"/>
            <w:lang w:eastAsia="zh-CN"/>
          </w:rPr>
          <w:t>shaimaa.abdelmajeed@mediu.ws</w:t>
        </w:r>
      </w:hyperlink>
    </w:p>
    <w:p w:rsidR="00962425" w:rsidRDefault="00962425" w:rsidP="00377096">
      <w:pPr>
        <w:tabs>
          <w:tab w:val="left" w:pos="4050"/>
        </w:tabs>
        <w:jc w:val="center"/>
        <w:rPr>
          <w:b/>
          <w:bCs/>
          <w:sz w:val="28"/>
          <w:szCs w:val="28"/>
          <w:rtl/>
          <w:lang w:bidi="ar-EG"/>
        </w:rPr>
      </w:pPr>
    </w:p>
    <w:p w:rsidR="00962425" w:rsidRPr="00426F7E" w:rsidRDefault="00962425" w:rsidP="00377096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p w:rsidR="00FE3B9F" w:rsidRDefault="00FE3B9F" w:rsidP="00FE3B9F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FE3B9F" w:rsidSect="001E3172">
          <w:headerReference w:type="even" r:id="rId9"/>
          <w:footerReference w:type="even" r:id="rId10"/>
          <w:pgSz w:w="11906" w:h="16838" w:code="9"/>
          <w:pgMar w:top="731" w:right="737" w:bottom="2432" w:left="737" w:header="709" w:footer="709" w:gutter="0"/>
          <w:cols w:space="708"/>
          <w:titlePg/>
          <w:bidi/>
          <w:rtlGutter/>
          <w:docGrid w:linePitch="360"/>
        </w:sectPr>
      </w:pPr>
    </w:p>
    <w:p w:rsidR="00377096" w:rsidRPr="00FE3B9F" w:rsidRDefault="001E3172" w:rsidP="00FE3B9F">
      <w:pPr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lastRenderedPageBreak/>
        <w:t xml:space="preserve">خلاصة هذا البحث فى : </w:t>
      </w:r>
      <w:r w:rsidR="00FE3B9F" w:rsidRPr="00FE3B9F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 xml:space="preserve">الأصل الثالث عند المعتزلة: </w:t>
      </w:r>
      <w:r w:rsidR="00FE3B9F" w:rsidRPr="00FE3B9F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القول بالمنزلة بين المنزلتين</w:t>
      </w:r>
    </w:p>
    <w:p w:rsidR="00377096" w:rsidRPr="00FE3B9F" w:rsidRDefault="00377096" w:rsidP="001E3172">
      <w:pPr>
        <w:jc w:val="right"/>
        <w:rPr>
          <w:rFonts w:asciiTheme="majorBidi" w:eastAsia="Calibri" w:hAnsiTheme="majorBidi" w:cstheme="majorBidi"/>
          <w:b/>
          <w:bCs/>
          <w:sz w:val="18"/>
          <w:szCs w:val="18"/>
          <w:rtl/>
          <w:lang w:bidi="ar-EG"/>
        </w:rPr>
      </w:pPr>
      <w:r w:rsidRPr="00FE3B9F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</w:t>
      </w:r>
      <w:r w:rsidR="001E3172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 xml:space="preserve">الافتتاحيه: </w:t>
      </w:r>
      <w:r w:rsidR="001E3172">
        <w:rPr>
          <w:rFonts w:asciiTheme="majorBidi" w:eastAsia="Calibri" w:hAnsiTheme="majorBidi" w:cstheme="majorBidi" w:hint="cs"/>
          <w:b/>
          <w:bCs/>
          <w:sz w:val="18"/>
          <w:szCs w:val="18"/>
          <w:rtl/>
          <w:lang w:bidi="ar-EG"/>
        </w:rPr>
        <w:t>المعتزله ، مرتكب، القول</w:t>
      </w:r>
    </w:p>
    <w:p w:rsidR="00377096" w:rsidRPr="00FE3B9F" w:rsidRDefault="00377096" w:rsidP="00FE3B9F">
      <w:pPr>
        <w:pStyle w:val="a5"/>
        <w:numPr>
          <w:ilvl w:val="0"/>
          <w:numId w:val="2"/>
        </w:numPr>
        <w:spacing w:after="0" w:line="240" w:lineRule="auto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FE3B9F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FE3B9F" w:rsidRPr="00FE3B9F" w:rsidRDefault="00377096" w:rsidP="00FE3B9F">
      <w:pPr>
        <w:jc w:val="center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FE3B9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="00FE3B9F" w:rsidRPr="00FE3B9F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 xml:space="preserve">الأصل الثالث عند المعتزلة: </w:t>
      </w:r>
      <w:r w:rsidR="00FE3B9F" w:rsidRPr="00FE3B9F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القول بالمنزلة بين المنزلتين</w:t>
      </w:r>
    </w:p>
    <w:p w:rsidR="00377096" w:rsidRPr="00FE3B9F" w:rsidRDefault="00377096" w:rsidP="00FE3B9F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377096" w:rsidRPr="00FE3B9F" w:rsidRDefault="00377096" w:rsidP="00FE3B9F">
      <w:pPr>
        <w:pStyle w:val="a5"/>
        <w:numPr>
          <w:ilvl w:val="0"/>
          <w:numId w:val="3"/>
        </w:numPr>
        <w:spacing w:after="0" w:line="240" w:lineRule="auto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FE3B9F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377096" w:rsidRPr="001E3172" w:rsidRDefault="00377096" w:rsidP="00FE3B9F">
      <w:pPr>
        <w:pStyle w:val="a4"/>
        <w:bidi/>
        <w:ind w:left="0" w:right="0"/>
        <w:jc w:val="lowKashida"/>
        <w:rPr>
          <w:rFonts w:cs="Times New Roman"/>
          <w:sz w:val="18"/>
          <w:szCs w:val="18"/>
          <w:rtl/>
        </w:rPr>
      </w:pPr>
      <w:r w:rsidRPr="001E3172">
        <w:rPr>
          <w:rFonts w:cs="Times New Roman"/>
          <w:sz w:val="18"/>
          <w:szCs w:val="18"/>
          <w:rtl/>
        </w:rPr>
        <w:t>يرى المعتزلة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أن مرتكب الكبيرة ليس بمؤمن؛ لأنه لم يفعل الطاعات التي هي جزء من الإيمان في نظرهم، وليس بكافر؛ لأنه يشهد أن لا إله إلا الله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وأن محمدًا رسول الله، وإنما هو في حالة متوسطة بين المؤمن والكافر، إنه في منزلة بين المنزلتين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بين الكفر والإيمان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ويسمونه فاسقا، ولكنهم مع ذلك يرون أنه مخلد في النار مستمر فيها إن مات قبل أن يتوب من معصيته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ويقلع عن ذنبه ويعود إلى ربه، ولكن عذابه في النار يكون أقل من عذاب الكافرين، وهذا القول منهم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ابتدعه رئيسهم واصل بن عطاء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وأخذه عنه تلاميذه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وآمن </w:t>
      </w:r>
      <w:r w:rsidRPr="001E3172">
        <w:rPr>
          <w:rStyle w:val="spelle"/>
          <w:rFonts w:cs="Times New Roman"/>
          <w:sz w:val="18"/>
          <w:szCs w:val="18"/>
          <w:rtl/>
        </w:rPr>
        <w:t>به</w:t>
      </w:r>
      <w:r w:rsidRPr="001E3172">
        <w:rPr>
          <w:rFonts w:cs="Times New Roman"/>
          <w:sz w:val="18"/>
          <w:szCs w:val="18"/>
          <w:rtl/>
        </w:rPr>
        <w:t xml:space="preserve"> جمهور المعتزلة؛ يقول واصل: "إن الإيمان عبارة عن خصال خير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إذا اجتمعت في الشخص سمي المرء مؤمنًا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وهو اسم مدح، والفاسق لم يستجمع خصال الخير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ولا استحق المدح؛ فلا يسمى مؤمنا، وليس كافرا أيضًا؛ لأن الشهادة وسائر أعمال الخير موجودة فيه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فلا وجه لإنكارها، لكنه إذا خرج من الدنيا على كبيرة من غير توبة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فهو من أهل النار ويكون مخلدًا فيها؛ إذ ليس في الآخرة إلا الفريقان: فريق في الجنة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وفريق في السعير، لكنه تخفف عنه النار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وتكون </w:t>
      </w:r>
      <w:r w:rsidRPr="001E3172">
        <w:rPr>
          <w:rStyle w:val="spelle"/>
          <w:rFonts w:cs="Times New Roman"/>
          <w:sz w:val="18"/>
          <w:szCs w:val="18"/>
          <w:rtl/>
        </w:rPr>
        <w:t>دركته</w:t>
      </w:r>
      <w:r w:rsidRPr="001E3172">
        <w:rPr>
          <w:rFonts w:cs="Times New Roman"/>
          <w:sz w:val="18"/>
          <w:szCs w:val="18"/>
          <w:rtl/>
        </w:rPr>
        <w:t xml:space="preserve"> فوق </w:t>
      </w:r>
      <w:r w:rsidRPr="001E3172">
        <w:rPr>
          <w:rStyle w:val="spelle"/>
          <w:rFonts w:cs="Times New Roman"/>
          <w:sz w:val="18"/>
          <w:szCs w:val="18"/>
          <w:rtl/>
        </w:rPr>
        <w:t>دركة</w:t>
      </w:r>
      <w:r w:rsidRPr="001E3172">
        <w:rPr>
          <w:rFonts w:cs="Times New Roman"/>
          <w:sz w:val="18"/>
          <w:szCs w:val="18"/>
          <w:rtl/>
        </w:rPr>
        <w:t xml:space="preserve"> الكفار".</w:t>
      </w:r>
    </w:p>
    <w:p w:rsidR="00377096" w:rsidRPr="001E3172" w:rsidRDefault="00377096" w:rsidP="00FE3B9F">
      <w:pPr>
        <w:pStyle w:val="a4"/>
        <w:bidi/>
        <w:ind w:left="0" w:right="0"/>
        <w:jc w:val="lowKashida"/>
        <w:rPr>
          <w:rFonts w:cs="Times New Roman"/>
          <w:sz w:val="18"/>
          <w:szCs w:val="18"/>
          <w:rtl/>
        </w:rPr>
      </w:pPr>
      <w:r w:rsidRPr="001E3172">
        <w:rPr>
          <w:rFonts w:cs="Times New Roman"/>
          <w:sz w:val="18"/>
          <w:szCs w:val="18"/>
          <w:rtl/>
        </w:rPr>
        <w:t>وهذا القول من المعتزلة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وهو أن مرتكب الكبيرة ليس بمؤمن وليس بكافر لم يقل </w:t>
      </w:r>
      <w:r w:rsidRPr="001E3172">
        <w:rPr>
          <w:rStyle w:val="spelle"/>
          <w:rFonts w:cs="Times New Roman"/>
          <w:sz w:val="18"/>
          <w:szCs w:val="18"/>
          <w:rtl/>
        </w:rPr>
        <w:t>به</w:t>
      </w:r>
      <w:r w:rsidRPr="001E3172">
        <w:rPr>
          <w:rFonts w:cs="Times New Roman"/>
          <w:sz w:val="18"/>
          <w:szCs w:val="18"/>
          <w:rtl/>
        </w:rPr>
        <w:t xml:space="preserve"> أحد قبلهم، فهو قول مبتدع؛ ذلك أن الأمر لا يخلو عن حالين: إما الإيمان وإما الكفر، أما الحالة الثالثة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فليست متصورة ولا معقولة، ثم ما هي الفائدة من التسمية منزلة بين المنزلتين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مع قولهم بأنه مخلد في النار؟ فإن مرتكب الكبيرة عندهم مخلد في النار، والمعتزلة مع قولهم بأن مرتكب الكبيرة لا يسمى مؤمنًا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إلا أنهم يرون أنه من باب المصلحة يجوز أن يسمى مسلمًا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ليس من باب المدح والثناء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ولكن من باب التفرقة والتمييز بينه وبين أهل الذمة من اليهود والنصارى وأصحاب الملل الأخرى، أما حكم مرتكب الكبيرة في الدنيا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فإنه يعامل معاملة المسلمين اسما وحكما؛ لأن الأمل في توبته إلى الله تعالى قائم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والرجاء في هداية الله تعالى إياه وقبوله توبته قوي.</w:t>
      </w:r>
    </w:p>
    <w:p w:rsidR="00377096" w:rsidRPr="001E3172" w:rsidRDefault="00377096" w:rsidP="00FE3B9F">
      <w:pPr>
        <w:pStyle w:val="a4"/>
        <w:bidi/>
        <w:ind w:left="0" w:right="0"/>
        <w:jc w:val="lowKashida"/>
        <w:rPr>
          <w:rFonts w:cs="Times New Roman"/>
          <w:sz w:val="18"/>
          <w:szCs w:val="18"/>
          <w:rtl/>
        </w:rPr>
      </w:pPr>
      <w:r w:rsidRPr="001E3172">
        <w:rPr>
          <w:rFonts w:cs="Times New Roman"/>
          <w:sz w:val="18"/>
          <w:szCs w:val="18"/>
          <w:rtl/>
        </w:rPr>
        <w:t>أما أهل السنة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فيقولون: مرتكب الكبيرة مؤمن</w:t>
      </w:r>
      <w:r w:rsidRPr="001E3172">
        <w:rPr>
          <w:rFonts w:cs="Times New Roman" w:hint="cs"/>
          <w:sz w:val="18"/>
          <w:szCs w:val="18"/>
          <w:rtl/>
        </w:rPr>
        <w:t>؛</w:t>
      </w:r>
      <w:r w:rsidRPr="001E3172">
        <w:rPr>
          <w:rFonts w:cs="Times New Roman"/>
          <w:sz w:val="18"/>
          <w:szCs w:val="18"/>
          <w:rtl/>
        </w:rPr>
        <w:t xml:space="preserve"> لعقده الإيماني الصحيح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وإيمانه بالله ورسوله، ولكنه فاسق وعاص بعمله، وفسقُه لا ينفي عنه اسم الإيمان، وأما واصل فسماه فاسق</w:t>
      </w:r>
      <w:r w:rsidRPr="001E3172">
        <w:rPr>
          <w:rFonts w:cs="Times New Roman" w:hint="cs"/>
          <w:sz w:val="18"/>
          <w:szCs w:val="18"/>
          <w:rtl/>
        </w:rPr>
        <w:t>ً</w:t>
      </w:r>
      <w:r w:rsidRPr="001E3172">
        <w:rPr>
          <w:rFonts w:cs="Times New Roman"/>
          <w:sz w:val="18"/>
          <w:szCs w:val="18"/>
          <w:rtl/>
        </w:rPr>
        <w:t>ا أيضا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ولكنه اعتبر الفسق منزلة بين المنزلتين، وإذا خرج من الدنيا على كبيرته من غير توبة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فهو من أهل النار خالدا فيها؛ إذ ليس في الآخرة إلا فريقان: فريق في الجنة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وفريق في السعير، وإذا قيل له: فما الفرق بينه وبين الكافر المشرك المخلد في النار؟ قال: يخفف عنه العذاب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فتكون </w:t>
      </w:r>
      <w:r w:rsidRPr="001E3172">
        <w:rPr>
          <w:rStyle w:val="spelle"/>
          <w:rFonts w:cs="Times New Roman"/>
          <w:sz w:val="18"/>
          <w:szCs w:val="18"/>
          <w:rtl/>
        </w:rPr>
        <w:t>دركته</w:t>
      </w:r>
      <w:r w:rsidRPr="001E3172">
        <w:rPr>
          <w:rFonts w:cs="Times New Roman"/>
          <w:sz w:val="18"/>
          <w:szCs w:val="18"/>
          <w:rtl/>
        </w:rPr>
        <w:t xml:space="preserve"> فوق </w:t>
      </w:r>
      <w:r w:rsidRPr="001E3172">
        <w:rPr>
          <w:rStyle w:val="spelle"/>
          <w:rFonts w:cs="Times New Roman"/>
          <w:sz w:val="18"/>
          <w:szCs w:val="18"/>
          <w:rtl/>
        </w:rPr>
        <w:t>دركة</w:t>
      </w:r>
      <w:r w:rsidRPr="001E3172">
        <w:rPr>
          <w:rFonts w:cs="Times New Roman"/>
          <w:sz w:val="18"/>
          <w:szCs w:val="18"/>
          <w:rtl/>
        </w:rPr>
        <w:t xml:space="preserve"> الكافر، أراد واصل بهذا الرأي الجديد أن يتوسط بين الآراء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فأخذ بما اتفقوا عليه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وهو وصف الفسق، ثم أراد أن يجامل الخوارج الذين وصفوه بالكفر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فأخذ من مذهبهم جانبا وهو الحكم بخلود الفاسق في النار؛ ولهذا سماهم خصومهم </w:t>
      </w:r>
      <w:r w:rsidRPr="001E3172">
        <w:rPr>
          <w:rStyle w:val="spelle"/>
          <w:rFonts w:cs="Times New Roman"/>
          <w:sz w:val="18"/>
          <w:szCs w:val="18"/>
          <w:rtl/>
        </w:rPr>
        <w:t>بمخانيث</w:t>
      </w:r>
      <w:r w:rsidRPr="001E3172">
        <w:rPr>
          <w:rFonts w:cs="Times New Roman"/>
          <w:sz w:val="18"/>
          <w:szCs w:val="18"/>
          <w:rtl/>
        </w:rPr>
        <w:t xml:space="preserve"> الخوارج؛ لأن الخوارج لما قرروا لأهل الذنوب الخلود في النار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اعتبروهم كفرة وحاربوهم، أما المعتزلة فقد قرروا لهم الخلود في النار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ولكنهم لم يسموهم كفارا ولم يوجبوا قتالهم.</w:t>
      </w:r>
    </w:p>
    <w:p w:rsidR="00377096" w:rsidRPr="001E3172" w:rsidRDefault="00377096" w:rsidP="00FE3B9F">
      <w:pPr>
        <w:pStyle w:val="a4"/>
        <w:bidi/>
        <w:ind w:left="0" w:right="0"/>
        <w:jc w:val="lowKashida"/>
        <w:rPr>
          <w:rFonts w:cs="Times New Roman"/>
          <w:sz w:val="18"/>
          <w:szCs w:val="18"/>
          <w:rtl/>
        </w:rPr>
      </w:pPr>
      <w:r w:rsidRPr="001E3172">
        <w:rPr>
          <w:rFonts w:cs="Times New Roman"/>
          <w:sz w:val="18"/>
          <w:szCs w:val="18"/>
          <w:rtl/>
        </w:rPr>
        <w:t>وقد تكرر هذا الموقف من واصل بن عطاء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في محاولة أن يمسك بالعصا من المنتصف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عندما سأله البعض عن الخلاف السياسي بين علي وأعدائه، فبينما كان موقف الخوارج محددا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وهو تكفير علي وخصومه من الأمويين مع</w:t>
      </w:r>
      <w:r w:rsidRPr="001E3172">
        <w:rPr>
          <w:rFonts w:cs="Times New Roman" w:hint="cs"/>
          <w:sz w:val="18"/>
          <w:szCs w:val="18"/>
          <w:rtl/>
        </w:rPr>
        <w:t>ً</w:t>
      </w:r>
      <w:r w:rsidRPr="001E3172">
        <w:rPr>
          <w:rFonts w:cs="Times New Roman"/>
          <w:sz w:val="18"/>
          <w:szCs w:val="18"/>
          <w:rtl/>
        </w:rPr>
        <w:t>ا، وكان موقف أهل السنة إسلام الفريقين وإيمانهم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غير أنهم قالوا: إن عليًّا كان على حق وأعداءه قد اجتهدوا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ولا يلزمهم كفر أو فسق، جاء واصل بن عطاء فاعتبر أحد الفريقين فاسقا لا بعينه، ولا تقبل شهادة واحد منهما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قياسًا على المتلاعنين، فلا يجوز عنده قبول شهادة علي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وطلحة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والزبير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ومعاوية؛ حيث قال بأن أحدهما فاسق لا بعينه، وهذا حكم جائر على صحابة رسول الله </w:t>
      </w:r>
      <w:r w:rsidRPr="001E3172">
        <w:rPr>
          <w:rFonts w:cs="Times New Roman" w:hint="cs"/>
          <w:spacing w:val="20"/>
          <w:position w:val="-4"/>
          <w:sz w:val="18"/>
          <w:szCs w:val="18"/>
          <w:rtl/>
        </w:rPr>
        <w:sym w:font="AGA Arabesque" w:char="F065"/>
      </w:r>
      <w:r w:rsidRPr="001E3172">
        <w:rPr>
          <w:rFonts w:cs="Times New Roman" w:hint="cs"/>
          <w:spacing w:val="20"/>
          <w:sz w:val="18"/>
          <w:szCs w:val="18"/>
          <w:rtl/>
        </w:rPr>
        <w:t xml:space="preserve"> </w:t>
      </w:r>
      <w:r w:rsidRPr="001E3172">
        <w:rPr>
          <w:rFonts w:cs="Times New Roman"/>
          <w:sz w:val="18"/>
          <w:szCs w:val="18"/>
          <w:rtl/>
        </w:rPr>
        <w:t xml:space="preserve"> خاصة وأن حكم الفسق عنده الخلود في النار.</w:t>
      </w:r>
    </w:p>
    <w:p w:rsidR="00377096" w:rsidRPr="001E3172" w:rsidRDefault="00377096" w:rsidP="00FE3B9F">
      <w:pPr>
        <w:pStyle w:val="a4"/>
        <w:bidi/>
        <w:ind w:left="0" w:right="0"/>
        <w:jc w:val="lowKashida"/>
        <w:rPr>
          <w:rFonts w:cs="Times New Roman"/>
          <w:sz w:val="18"/>
          <w:szCs w:val="18"/>
          <w:rtl/>
        </w:rPr>
      </w:pPr>
      <w:r w:rsidRPr="001E3172">
        <w:rPr>
          <w:rFonts w:cs="Times New Roman"/>
          <w:sz w:val="18"/>
          <w:szCs w:val="18"/>
          <w:rtl/>
        </w:rPr>
        <w:t>وهكذا يعتبر موقف واصل في المنزلة بين المنزلتين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موقفًا ضعيفًا لا سند له من العقل أو النقل، إذ إن المؤمن العاصي أو الفاسق لا يخلد في النار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بل يعذب على قدر معصيته ثم يخرج منها إلى الجنة، وإلا لما كان هناك فرق بين من أنكر وجود الله وأنكر رسالاته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وبين من آمن </w:t>
      </w:r>
      <w:r w:rsidRPr="001E3172">
        <w:rPr>
          <w:rStyle w:val="spelle"/>
          <w:rFonts w:cs="Times New Roman"/>
          <w:sz w:val="18"/>
          <w:szCs w:val="18"/>
          <w:rtl/>
        </w:rPr>
        <w:t>بهما</w:t>
      </w:r>
      <w:r w:rsidRPr="001E3172">
        <w:rPr>
          <w:rFonts w:cs="Times New Roman"/>
          <w:sz w:val="18"/>
          <w:szCs w:val="18"/>
          <w:rtl/>
        </w:rPr>
        <w:t xml:space="preserve"> ولكنه قصَّر في بعض الواجبات</w:t>
      </w:r>
      <w:r w:rsidRPr="001E3172">
        <w:rPr>
          <w:rFonts w:cs="Times New Roman" w:hint="cs"/>
          <w:sz w:val="18"/>
          <w:szCs w:val="18"/>
          <w:rtl/>
        </w:rPr>
        <w:t>،</w:t>
      </w:r>
      <w:r w:rsidRPr="001E3172">
        <w:rPr>
          <w:rFonts w:cs="Times New Roman"/>
          <w:sz w:val="18"/>
          <w:szCs w:val="18"/>
          <w:rtl/>
        </w:rPr>
        <w:t xml:space="preserve"> ما دام الكل مخلدًا في النار.</w:t>
      </w:r>
    </w:p>
    <w:p w:rsidR="00377096" w:rsidRDefault="00377096" w:rsidP="00FE3B9F">
      <w:pPr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1E3172" w:rsidRDefault="001E3172" w:rsidP="001E3172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والمصادر:</w:t>
      </w:r>
    </w:p>
    <w:p w:rsidR="001E3172" w:rsidRPr="00545C45" w:rsidRDefault="001E3172" w:rsidP="001E3172">
      <w:pPr>
        <w:numPr>
          <w:ilvl w:val="0"/>
          <w:numId w:val="1"/>
        </w:numPr>
        <w:tabs>
          <w:tab w:val="clear" w:pos="720"/>
          <w:tab w:val="num" w:pos="281"/>
        </w:tabs>
        <w:bidi/>
        <w:ind w:left="-2" w:firstLine="1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A3CF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أبو الحسن الأشعري،  مقالات الإسلاميين واختلاف المصلين </w:t>
      </w:r>
      <w:r w:rsidRPr="00545C45">
        <w:rPr>
          <w:rFonts w:asciiTheme="majorBidi" w:hAnsiTheme="majorBidi" w:cstheme="majorBidi"/>
          <w:b/>
          <w:bCs/>
          <w:sz w:val="18"/>
          <w:szCs w:val="18"/>
          <w:rtl/>
        </w:rPr>
        <w:t>تحقيق: محمد محي الدين عبد الحميد، مكتبة النهضة المصرية، 1389هـ</w:t>
      </w:r>
    </w:p>
    <w:p w:rsidR="001E3172" w:rsidRPr="00545C45" w:rsidRDefault="001E3172" w:rsidP="001E3172">
      <w:pPr>
        <w:numPr>
          <w:ilvl w:val="0"/>
          <w:numId w:val="1"/>
        </w:numPr>
        <w:tabs>
          <w:tab w:val="clear" w:pos="720"/>
          <w:tab w:val="num" w:pos="281"/>
          <w:tab w:val="left" w:pos="7937"/>
        </w:tabs>
        <w:bidi/>
        <w:ind w:left="-2" w:right="142" w:firstLine="1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A3CF0">
        <w:rPr>
          <w:rFonts w:asciiTheme="majorBidi" w:hAnsiTheme="majorBidi" w:cstheme="majorBidi"/>
          <w:b/>
          <w:bCs/>
          <w:sz w:val="18"/>
          <w:szCs w:val="18"/>
          <w:rtl/>
        </w:rPr>
        <w:t>عواد بن عبد الله المعتق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،</w:t>
      </w:r>
      <w:r w:rsidRPr="006A3CF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المعتزلة وأصولهم الخمسة وموقف أهل السنة منها </w:t>
      </w:r>
      <w:r w:rsidRPr="00545C45">
        <w:rPr>
          <w:rFonts w:asciiTheme="majorBidi" w:hAnsiTheme="majorBidi" w:cstheme="majorBidi"/>
          <w:b/>
          <w:bCs/>
          <w:sz w:val="18"/>
          <w:szCs w:val="18"/>
          <w:rtl/>
        </w:rPr>
        <w:t>، الرياض،  مكتبة الرشد، 1417هـ</w:t>
      </w:r>
    </w:p>
    <w:p w:rsidR="001E3172" w:rsidRPr="00545C45" w:rsidRDefault="001E3172" w:rsidP="001E3172">
      <w:pPr>
        <w:numPr>
          <w:ilvl w:val="0"/>
          <w:numId w:val="1"/>
        </w:numPr>
        <w:tabs>
          <w:tab w:val="clear" w:pos="720"/>
          <w:tab w:val="num" w:pos="281"/>
        </w:tabs>
        <w:bidi/>
        <w:ind w:left="-2" w:firstLine="1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A3CF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الدكتور صابر بن عبد الرحمن طعيمة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،</w:t>
      </w:r>
      <w:r w:rsidRPr="006A3CF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دراسات في الفرق 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</w:t>
      </w:r>
      <w:r w:rsidRPr="00545C4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 الرياض، مكتبة المعارف، 1408هـ</w:t>
      </w:r>
    </w:p>
    <w:p w:rsidR="001E3172" w:rsidRPr="00545C45" w:rsidRDefault="001E3172" w:rsidP="001E3172">
      <w:pPr>
        <w:numPr>
          <w:ilvl w:val="0"/>
          <w:numId w:val="1"/>
        </w:numPr>
        <w:tabs>
          <w:tab w:val="clear" w:pos="720"/>
          <w:tab w:val="num" w:pos="281"/>
        </w:tabs>
        <w:bidi/>
        <w:ind w:left="-2" w:firstLine="1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A3CF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عبد القاهر بن طاهر البغدادي، </w:t>
      </w:r>
      <w:r w:rsidRPr="006A3CF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الفَرْق بين الفِرَق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، </w:t>
      </w:r>
      <w:r w:rsidRPr="00545C4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تحقيق: محمد محي الدين عبد الحميد، بيروت، المعرفة للطباعة والنشر، 1976م</w:t>
      </w:r>
    </w:p>
    <w:p w:rsidR="001E3172" w:rsidRPr="00545C45" w:rsidRDefault="001E3172" w:rsidP="001E3172">
      <w:pPr>
        <w:numPr>
          <w:ilvl w:val="0"/>
          <w:numId w:val="1"/>
        </w:numPr>
        <w:tabs>
          <w:tab w:val="clear" w:pos="720"/>
          <w:tab w:val="num" w:pos="281"/>
        </w:tabs>
        <w:bidi/>
        <w:ind w:left="-2" w:firstLine="1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A3CF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محمد بن عبد الكريم الشهرستاني، 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الملل والنحل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، </w:t>
      </w:r>
      <w:r w:rsidRPr="00545C4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بيروت، دار المعرفة للطباعة والنشر،  1395هـ </w:t>
      </w:r>
    </w:p>
    <w:p w:rsidR="001E3172" w:rsidRPr="00545C45" w:rsidRDefault="001E3172" w:rsidP="001E3172">
      <w:pPr>
        <w:numPr>
          <w:ilvl w:val="0"/>
          <w:numId w:val="1"/>
        </w:numPr>
        <w:tabs>
          <w:tab w:val="clear" w:pos="720"/>
          <w:tab w:val="num" w:pos="281"/>
        </w:tabs>
        <w:bidi/>
        <w:ind w:left="-2" w:firstLine="1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A3CF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علي سامي النشار، </w:t>
      </w:r>
      <w:r w:rsidRPr="006A3CF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نشأة التفكير الفلسفي في الإسلام 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،</w:t>
      </w:r>
      <w:r w:rsidRPr="00545C4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القاهرة،  دار المعارف، 1981م</w:t>
      </w:r>
    </w:p>
    <w:p w:rsidR="001E3172" w:rsidRPr="00545C45" w:rsidRDefault="001E3172" w:rsidP="001E3172">
      <w:pPr>
        <w:numPr>
          <w:ilvl w:val="0"/>
          <w:numId w:val="1"/>
        </w:numPr>
        <w:tabs>
          <w:tab w:val="clear" w:pos="720"/>
          <w:tab w:val="num" w:pos="281"/>
        </w:tabs>
        <w:bidi/>
        <w:ind w:left="-2" w:firstLine="1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A3CF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عبد الرحمن عميرة، </w:t>
      </w:r>
      <w:r w:rsidRPr="006A3CF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المذاهب المعاصرة وموقف الإسلام منه 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، </w:t>
      </w:r>
      <w:r w:rsidRPr="00545C4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بيروت، دار الجيل، 1405 هـ</w:t>
      </w:r>
    </w:p>
    <w:p w:rsidR="001E3172" w:rsidRPr="00545C45" w:rsidRDefault="001E3172" w:rsidP="001E3172">
      <w:pPr>
        <w:numPr>
          <w:ilvl w:val="0"/>
          <w:numId w:val="1"/>
        </w:numPr>
        <w:tabs>
          <w:tab w:val="clear" w:pos="720"/>
          <w:tab w:val="num" w:pos="281"/>
        </w:tabs>
        <w:bidi/>
        <w:ind w:left="-2" w:firstLine="1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A3CF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مصطفى الشكعة، </w:t>
      </w:r>
      <w:r w:rsidRPr="006A3CF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إسلام بلا مذاهب 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، </w:t>
      </w:r>
      <w:r w:rsidRPr="00545C4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الدار المصرية اللبنانية، 2004م</w:t>
      </w:r>
    </w:p>
    <w:p w:rsidR="001E3172" w:rsidRPr="00545C45" w:rsidRDefault="001E3172" w:rsidP="001E3172">
      <w:pPr>
        <w:numPr>
          <w:ilvl w:val="0"/>
          <w:numId w:val="1"/>
        </w:numPr>
        <w:tabs>
          <w:tab w:val="clear" w:pos="720"/>
          <w:tab w:val="num" w:pos="281"/>
        </w:tabs>
        <w:bidi/>
        <w:ind w:left="-2" w:firstLine="1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A3CF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إحسان إلهي ظهير،  </w:t>
      </w:r>
      <w:r w:rsidRPr="006A3CF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القاديانية دراسات وتحليل 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، </w:t>
      </w:r>
      <w:r w:rsidRPr="00545C4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الرياض، طبع ونشر رئاسة إدارات البحوث العلمية والإفتاء، 1404هـ</w:t>
      </w:r>
    </w:p>
    <w:p w:rsidR="001E3172" w:rsidRPr="00545C45" w:rsidRDefault="001E3172" w:rsidP="001E3172">
      <w:pPr>
        <w:numPr>
          <w:ilvl w:val="0"/>
          <w:numId w:val="1"/>
        </w:numPr>
        <w:tabs>
          <w:tab w:val="clear" w:pos="720"/>
          <w:tab w:val="num" w:pos="281"/>
        </w:tabs>
        <w:bidi/>
        <w:ind w:left="-2" w:firstLine="1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545C4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أحمد محمود صبحي، </w:t>
      </w:r>
      <w:r w:rsidRPr="00545C45">
        <w:rPr>
          <w:rFonts w:asciiTheme="majorBidi" w:hAnsiTheme="majorBidi" w:cstheme="majorBidi"/>
          <w:b/>
          <w:bCs/>
          <w:sz w:val="18"/>
          <w:szCs w:val="18"/>
          <w:rtl/>
        </w:rPr>
        <w:t>في علم الكلام: دراسة فلسفية لآراء الفرق الإسلامية في أصول الدين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، </w:t>
      </w:r>
      <w:r w:rsidRPr="00545C4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مؤسسة الثقافة الجماعية، 1982م</w:t>
      </w:r>
    </w:p>
    <w:p w:rsidR="001E3172" w:rsidRPr="00545C45" w:rsidRDefault="001E3172" w:rsidP="001E3172">
      <w:pPr>
        <w:numPr>
          <w:ilvl w:val="0"/>
          <w:numId w:val="1"/>
        </w:numPr>
        <w:tabs>
          <w:tab w:val="clear" w:pos="720"/>
          <w:tab w:val="num" w:pos="281"/>
        </w:tabs>
        <w:bidi/>
        <w:ind w:left="-2" w:firstLine="1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A3CF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عبد القادر بن حبيب الله السندي، </w:t>
      </w:r>
      <w:r w:rsidRPr="006A3CF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التصوف في ميزان البحث والتحقيق 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، </w:t>
      </w:r>
      <w:r w:rsidRPr="00545C4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المدينة المنورة، مكتبة ابن القيم، 1410هـ</w:t>
      </w:r>
    </w:p>
    <w:p w:rsidR="001E3172" w:rsidRPr="00545C45" w:rsidRDefault="001E3172" w:rsidP="001E3172">
      <w:pPr>
        <w:numPr>
          <w:ilvl w:val="0"/>
          <w:numId w:val="1"/>
        </w:numPr>
        <w:tabs>
          <w:tab w:val="clear" w:pos="720"/>
          <w:tab w:val="num" w:pos="281"/>
        </w:tabs>
        <w:bidi/>
        <w:ind w:left="-2" w:firstLine="1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A3CF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محمد عبد الهادي المصري، </w:t>
      </w:r>
      <w:r w:rsidRPr="006A3CF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أهل السنة والجماعة معالم الانطلاقة الكبرى 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، </w:t>
      </w:r>
      <w:r w:rsidRPr="00545C4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الرياض، دار طيبة للنشر والتوزيع، 1409هـ</w:t>
      </w:r>
    </w:p>
    <w:p w:rsidR="001E3172" w:rsidRPr="00545C45" w:rsidRDefault="001E3172" w:rsidP="001E3172">
      <w:pPr>
        <w:numPr>
          <w:ilvl w:val="0"/>
          <w:numId w:val="1"/>
        </w:numPr>
        <w:tabs>
          <w:tab w:val="clear" w:pos="720"/>
          <w:tab w:val="num" w:pos="281"/>
        </w:tabs>
        <w:bidi/>
        <w:ind w:left="-2" w:firstLine="1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6A3CF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الندوة العالمية للشباب الإسلامي، </w:t>
      </w:r>
      <w:r w:rsidRPr="006A3CF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الموسوعة الميسرة في الأديان والمذاهب والأحزاب المعاصرة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، </w:t>
      </w:r>
      <w:r w:rsidRPr="00545C4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إشراف ومراجعة: مانع الجهني، دار الندوة العالمية للطباعة والنشر، الطبعة الثالثة، 1418هـ</w:t>
      </w:r>
    </w:p>
    <w:p w:rsidR="00FE3B9F" w:rsidRPr="001E3172" w:rsidRDefault="00FE3B9F" w:rsidP="00FE3B9F">
      <w:pPr>
        <w:spacing w:line="500" w:lineRule="exact"/>
        <w:rPr>
          <w:rFonts w:ascii="Calibri" w:eastAsia="Calibri" w:hAnsi="Calibri"/>
          <w:sz w:val="32"/>
          <w:szCs w:val="32"/>
        </w:rPr>
        <w:sectPr w:rsidR="00FE3B9F" w:rsidRPr="001E3172" w:rsidSect="001E3172">
          <w:type w:val="continuous"/>
          <w:pgSz w:w="11906" w:h="16838" w:code="9"/>
          <w:pgMar w:top="731" w:right="737" w:bottom="2432" w:left="737" w:header="709" w:footer="709" w:gutter="0"/>
          <w:cols w:num="2" w:space="710" w:equalWidth="0">
            <w:col w:w="4861" w:space="710"/>
            <w:col w:w="4861"/>
          </w:cols>
          <w:titlePg/>
          <w:bidi/>
          <w:rtlGutter/>
          <w:docGrid w:linePitch="360"/>
        </w:sectPr>
      </w:pPr>
    </w:p>
    <w:p w:rsidR="004219C3" w:rsidRPr="00377096" w:rsidRDefault="004219C3" w:rsidP="00FE3B9F">
      <w:pPr>
        <w:jc w:val="right"/>
        <w:rPr>
          <w:rFonts w:asciiTheme="majorBidi" w:hAnsiTheme="majorBidi" w:cstheme="majorBidi"/>
          <w:b/>
          <w:bCs/>
          <w:sz w:val="18"/>
          <w:szCs w:val="18"/>
        </w:rPr>
      </w:pPr>
    </w:p>
    <w:sectPr w:rsidR="004219C3" w:rsidRPr="00377096" w:rsidSect="004168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30B" w:rsidRDefault="00C6330B" w:rsidP="00931722">
      <w:r>
        <w:separator/>
      </w:r>
    </w:p>
  </w:endnote>
  <w:endnote w:type="continuationSeparator" w:id="1">
    <w:p w:rsidR="00C6330B" w:rsidRDefault="00C6330B" w:rsidP="00931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L-Mateen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GA Granad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6A" w:rsidRPr="00C54812" w:rsidRDefault="00C6330B" w:rsidP="004E38E9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30B" w:rsidRDefault="00C6330B" w:rsidP="00931722">
      <w:r>
        <w:separator/>
      </w:r>
    </w:p>
  </w:footnote>
  <w:footnote w:type="continuationSeparator" w:id="1">
    <w:p w:rsidR="00C6330B" w:rsidRDefault="00C6330B" w:rsidP="00931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56" w:rsidRPr="00C54812" w:rsidRDefault="00DB5069">
    <w:pPr>
      <w:pStyle w:val="a6"/>
    </w:pPr>
    <w:r>
      <w:rPr>
        <w:noProof/>
      </w:rPr>
      <w:pict>
        <v:group id="_x0000_s1025" style="position:absolute;margin-left:3.5pt;margin-top:76.05pt;width:333.5pt;height:619.25pt;z-index:251660288" coordorigin="2622,2230" coordsize="6670,12385">
          <v:line id="_x0000_s1026" style="position:absolute" from="2645,14400" to="9266,14400" strokecolor="#95b3d7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8509;top:14161;width:754;height:454" fillcolor="#4f81bd">
            <v:fill color2="fill darken(118)" rotate="t" angle="-135" method="linear sigma" focus="100%" type="gradient"/>
            <v:shadow on="t" type="perspective" opacity=".5" origin=",.5" offset="0,0" matrix=",56756f,,.5"/>
            <v:textbox style="mso-next-textbox:#_x0000_s1027" inset="0,,0">
              <w:txbxContent>
                <w:p w:rsidR="00607D56" w:rsidRPr="00907733" w:rsidRDefault="00DB5069" w:rsidP="00832151">
                  <w:pPr>
                    <w:spacing w:line="280" w:lineRule="exact"/>
                    <w:jc w:val="center"/>
                    <w:rPr>
                      <w:rFonts w:cs="AL-Mateen"/>
                      <w:color w:val="FFFFFF"/>
                      <w:sz w:val="40"/>
                      <w:szCs w:val="40"/>
                      <w:rtl/>
                    </w:rPr>
                  </w:pPr>
                  <w:r w:rsidRPr="00907733">
                    <w:rPr>
                      <w:rStyle w:val="a8"/>
                      <w:rFonts w:cs="AL-Mateen"/>
                      <w:color w:val="FFFFFF"/>
                      <w:sz w:val="40"/>
                      <w:szCs w:val="40"/>
                    </w:rPr>
                    <w:fldChar w:fldCharType="begin"/>
                  </w:r>
                  <w:r w:rsidR="00D2680E" w:rsidRPr="00907733">
                    <w:rPr>
                      <w:rStyle w:val="a8"/>
                      <w:rFonts w:cs="AL-Mateen"/>
                      <w:color w:val="FFFFFF"/>
                      <w:sz w:val="40"/>
                      <w:szCs w:val="40"/>
                    </w:rPr>
                    <w:instrText xml:space="preserve"> PAGE </w:instrText>
                  </w:r>
                  <w:r w:rsidRPr="00907733">
                    <w:rPr>
                      <w:rStyle w:val="a8"/>
                      <w:rFonts w:cs="AL-Mateen"/>
                      <w:color w:val="FFFFFF"/>
                      <w:sz w:val="40"/>
                      <w:szCs w:val="40"/>
                    </w:rPr>
                    <w:fldChar w:fldCharType="separate"/>
                  </w:r>
                  <w:r w:rsidR="00D2680E">
                    <w:rPr>
                      <w:rStyle w:val="a8"/>
                      <w:rFonts w:cs="AL-Mateen"/>
                      <w:noProof/>
                      <w:color w:val="FFFFFF"/>
                      <w:sz w:val="40"/>
                      <w:szCs w:val="40"/>
                      <w:rtl/>
                    </w:rPr>
                    <w:t>556</w:t>
                  </w:r>
                  <w:r w:rsidRPr="00907733">
                    <w:rPr>
                      <w:rStyle w:val="a8"/>
                      <w:rFonts w:cs="AL-Mateen"/>
                      <w:color w:val="FFFFFF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5302;top:2497;width:3969;height:0;flip:x" o:connectortype="straight" strokecolor="#95b3d7" strokeweight="1pt">
            <v:shadow type="perspective" color="#243f60" opacity=".5" offset="1pt" offset2="-3p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2622;top:2278;width:2551;height:397" fillcolor="#369" stroked="f">
            <v:shadow on="t" color="#b2b2b2" opacity="52429f" offset="1pt,0" offset2="-4pt,-4pt"/>
            <v:textpath style="font-family:&quot;Al-Mothnna&quot;;v-text-kern:t" trim="t" fitpath="t" string="بقية الفرق المنسبة للإسلام"/>
          </v:shape>
          <v:rect id="_x0000_s1030" style="position:absolute;left:7591;top:2230;width:1701;height:509" fillcolor="#4f81bd" strokecolor="#f2f2f2" strokeweight="1pt">
            <v:fill color2="#243f60" angle="-135" focusposition="1" focussize="" focus="100%" type="gradient"/>
            <v:shadow on="t" type="perspective" color="#b8cce4" opacity=".5" origin=",.5" offset="0,0" matrix=",56756f,,.5"/>
            <v:textbox style="mso-next-textbox:#_x0000_s1030">
              <w:txbxContent>
                <w:p w:rsidR="00607D56" w:rsidRPr="00E31343" w:rsidRDefault="00C6330B" w:rsidP="00832151">
                  <w:pPr>
                    <w:ind w:left="428"/>
                    <w:rPr>
                      <w:rFonts w:cs="AGA Granada Regular"/>
                      <w:color w:val="FFFFFF"/>
                      <w:sz w:val="36"/>
                      <w:szCs w:val="36"/>
                      <w:rtl/>
                    </w:rPr>
                  </w:pPr>
                </w:p>
              </w:txbxContent>
            </v:textbox>
          </v:rect>
          <v:shape id="_x0000_s1031" type="#_x0000_t136" style="position:absolute;left:7733;top:2326;width:1417;height:317" stroked="f">
            <v:shadow on="t" color="black" opacity="52429f" offset="1pt,0" offset2="-4pt,-4pt"/>
            <v:textpath style="font-family:&quot;AGA Granada Regular&quot;;v-text-kern:t" trim="t" fitpath="t" string="قائمة المراجع العامة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20454A2"/>
    <w:multiLevelType w:val="hybridMultilevel"/>
    <w:tmpl w:val="0ECE5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_x0000_s10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77096"/>
    <w:rsid w:val="001A17C9"/>
    <w:rsid w:val="001A2769"/>
    <w:rsid w:val="001E3172"/>
    <w:rsid w:val="00377096"/>
    <w:rsid w:val="003C619E"/>
    <w:rsid w:val="004168A0"/>
    <w:rsid w:val="004219C3"/>
    <w:rsid w:val="00705E14"/>
    <w:rsid w:val="008604A9"/>
    <w:rsid w:val="008A267C"/>
    <w:rsid w:val="00931722"/>
    <w:rsid w:val="00962425"/>
    <w:rsid w:val="00B06761"/>
    <w:rsid w:val="00C6330B"/>
    <w:rsid w:val="00D2680E"/>
    <w:rsid w:val="00DB5069"/>
    <w:rsid w:val="00FE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77096"/>
    <w:pPr>
      <w:ind w:left="75" w:right="75"/>
      <w:jc w:val="both"/>
    </w:pPr>
    <w:rPr>
      <w:rFonts w:ascii="Tahoma" w:hAnsi="Tahoma" w:cs="Tahoma"/>
      <w:sz w:val="36"/>
      <w:szCs w:val="36"/>
    </w:rPr>
  </w:style>
  <w:style w:type="character" w:customStyle="1" w:styleId="spelle">
    <w:name w:val="spelle"/>
    <w:basedOn w:val="a0"/>
    <w:rsid w:val="00377096"/>
  </w:style>
  <w:style w:type="paragraph" w:customStyle="1" w:styleId="Affiliation">
    <w:name w:val="Affiliation"/>
    <w:rsid w:val="00377096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uthor">
    <w:name w:val="Author"/>
    <w:rsid w:val="00377096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paragraph" w:styleId="a5">
    <w:name w:val="List Paragraph"/>
    <w:basedOn w:val="a"/>
    <w:qFormat/>
    <w:rsid w:val="00377096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unhideWhenUsed/>
    <w:rsid w:val="00FE3B9F"/>
    <w:rPr>
      <w:color w:val="0000FF" w:themeColor="hyperlink"/>
      <w:u w:val="single"/>
    </w:rPr>
  </w:style>
  <w:style w:type="paragraph" w:styleId="a6">
    <w:name w:val="header"/>
    <w:basedOn w:val="a"/>
    <w:link w:val="Char"/>
    <w:rsid w:val="00FE3B9F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6"/>
    <w:rsid w:val="00FE3B9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0"/>
    <w:rsid w:val="00FE3B9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7"/>
    <w:rsid w:val="00FE3B9F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FE3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imaa.abdelmajeed@mediu.w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8AA2-EC61-46AC-9288-908C40D8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Fannan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5</cp:revision>
  <dcterms:created xsi:type="dcterms:W3CDTF">2013-06-18T17:34:00Z</dcterms:created>
  <dcterms:modified xsi:type="dcterms:W3CDTF">2013-08-06T11:34:00Z</dcterms:modified>
</cp:coreProperties>
</file>