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91" w:rsidRDefault="009A5291" w:rsidP="009A5291">
      <w:pPr>
        <w:jc w:val="center"/>
        <w:rPr>
          <w:rFonts w:asciiTheme="majorBidi" w:eastAsia="Calibri" w:hAnsiTheme="majorBidi" w:cstheme="majorBidi"/>
          <w:b/>
          <w:bCs/>
          <w:i/>
          <w:iCs/>
          <w:sz w:val="44"/>
          <w:szCs w:val="44"/>
        </w:rPr>
      </w:pPr>
      <w:r w:rsidRPr="009A5291">
        <w:rPr>
          <w:rFonts w:asciiTheme="majorBidi" w:eastAsia="Calibri" w:hAnsiTheme="majorBidi" w:cstheme="majorBidi" w:hint="cs"/>
          <w:b/>
          <w:bCs/>
          <w:i/>
          <w:iCs/>
          <w:sz w:val="44"/>
          <w:szCs w:val="44"/>
          <w:rtl/>
        </w:rPr>
        <w:t>من البابية إلى البهائية</w:t>
      </w:r>
    </w:p>
    <w:p w:rsidR="009A5291" w:rsidRDefault="009A5291" w:rsidP="009A5291">
      <w:pPr>
        <w:jc w:val="center"/>
        <w:rPr>
          <w:rFonts w:asciiTheme="majorBidi" w:eastAsia="Calibri" w:hAnsiTheme="majorBidi" w:cstheme="majorBidi" w:hint="cs"/>
          <w:b/>
          <w:bCs/>
          <w:i/>
          <w:iCs/>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0F24CC" w:rsidRDefault="000F24CC" w:rsidP="009A5291">
      <w:pPr>
        <w:jc w:val="center"/>
        <w:rPr>
          <w:rFonts w:asciiTheme="majorBidi" w:eastAsia="Calibri" w:hAnsiTheme="majorBidi" w:cstheme="majorBidi" w:hint="cs"/>
          <w:b/>
          <w:bCs/>
          <w:i/>
          <w:iCs/>
          <w:sz w:val="18"/>
          <w:szCs w:val="18"/>
          <w:rtl/>
          <w:lang w:bidi="ar-EG"/>
        </w:rPr>
      </w:pPr>
    </w:p>
    <w:p w:rsidR="000F24CC" w:rsidRPr="00FE0D55" w:rsidRDefault="000F24CC" w:rsidP="009A5291">
      <w:pPr>
        <w:jc w:val="center"/>
        <w:rPr>
          <w:rFonts w:asciiTheme="majorBidi" w:eastAsia="Calibri" w:hAnsiTheme="majorBidi" w:cstheme="majorBidi"/>
          <w:b/>
          <w:bCs/>
          <w:i/>
          <w:iCs/>
          <w:color w:val="4F81BD"/>
          <w:sz w:val="18"/>
          <w:szCs w:val="18"/>
          <w:rtl/>
          <w:lang w:bidi="ar-EG"/>
        </w:rPr>
      </w:pPr>
    </w:p>
    <w:p w:rsidR="009A5291" w:rsidRPr="000F24CC" w:rsidRDefault="009A5291" w:rsidP="000F24CC">
      <w:pPr>
        <w:pStyle w:val="Author"/>
        <w:tabs>
          <w:tab w:val="left" w:pos="4228"/>
          <w:tab w:val="center" w:pos="5244"/>
        </w:tabs>
        <w:bidi/>
        <w:spacing w:before="0" w:after="0"/>
        <w:jc w:val="left"/>
        <w:rPr>
          <w:rFonts w:asciiTheme="majorBidi" w:hAnsiTheme="majorBidi" w:cstheme="majorBidi"/>
          <w:b/>
          <w:bCs/>
          <w:i/>
          <w:iCs/>
          <w:sz w:val="18"/>
          <w:szCs w:val="18"/>
          <w:lang w:eastAsia="zh-CN"/>
        </w:rPr>
      </w:pPr>
      <w:r>
        <w:rPr>
          <w:rFonts w:asciiTheme="majorBidi" w:hAnsiTheme="majorBidi" w:cstheme="majorBidi"/>
          <w:b/>
          <w:bCs/>
          <w:i/>
          <w:iCs/>
          <w:sz w:val="18"/>
          <w:szCs w:val="18"/>
          <w:rtl/>
        </w:rPr>
        <w:tab/>
      </w:r>
      <w:r>
        <w:rPr>
          <w:rFonts w:asciiTheme="majorBidi" w:hAnsiTheme="majorBidi" w:cstheme="majorBidi"/>
          <w:b/>
          <w:bCs/>
          <w:i/>
          <w:iCs/>
          <w:sz w:val="18"/>
          <w:szCs w:val="18"/>
          <w:rtl/>
          <w:lang w:eastAsia="zh-CN"/>
        </w:rPr>
        <w:tab/>
      </w:r>
      <w:r w:rsidRPr="00FE0D55">
        <w:rPr>
          <w:rFonts w:asciiTheme="majorBidi" w:hAnsiTheme="majorBidi" w:cstheme="majorBidi"/>
          <w:b/>
          <w:bCs/>
          <w:i/>
          <w:iCs/>
          <w:sz w:val="18"/>
          <w:szCs w:val="18"/>
          <w:rtl/>
          <w:lang w:eastAsia="zh-CN"/>
        </w:rPr>
        <w:t xml:space="preserve">إعداد / </w:t>
      </w:r>
      <w:r w:rsidR="000F24CC" w:rsidRPr="000F24CC">
        <w:rPr>
          <w:rFonts w:asciiTheme="majorBidi" w:hAnsiTheme="majorBidi" w:cstheme="majorBidi"/>
          <w:b/>
          <w:bCs/>
          <w:i/>
          <w:iCs/>
          <w:sz w:val="18"/>
          <w:szCs w:val="18"/>
          <w:rtl/>
          <w:lang w:eastAsia="zh-CN"/>
        </w:rPr>
        <w:t>فاطمة السيد العشري</w:t>
      </w:r>
    </w:p>
    <w:p w:rsidR="009A5291" w:rsidRPr="000F24CC" w:rsidRDefault="009A5291" w:rsidP="009A5291">
      <w:pPr>
        <w:pStyle w:val="Affiliation"/>
        <w:tabs>
          <w:tab w:val="left" w:pos="4353"/>
          <w:tab w:val="center" w:pos="5244"/>
        </w:tabs>
        <w:bidi/>
        <w:jc w:val="left"/>
        <w:rPr>
          <w:rFonts w:asciiTheme="majorBidi" w:hAnsiTheme="majorBidi" w:cstheme="majorBidi"/>
          <w:b/>
          <w:bCs/>
          <w:i/>
          <w:iCs/>
          <w:sz w:val="18"/>
          <w:szCs w:val="18"/>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rPr>
        <w:t>قسم الدعوة وأصول الدين</w:t>
      </w:r>
    </w:p>
    <w:p w:rsidR="009A5291" w:rsidRPr="00FE0D55" w:rsidRDefault="009A5291" w:rsidP="009A5291">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9A5291" w:rsidRPr="00FE0D55" w:rsidRDefault="009A5291" w:rsidP="009A5291">
      <w:pPr>
        <w:pStyle w:val="Affiliation"/>
        <w:tabs>
          <w:tab w:val="left" w:pos="4679"/>
          <w:tab w:val="center" w:pos="5244"/>
        </w:tabs>
        <w:bidi/>
        <w:jc w:val="left"/>
        <w:rPr>
          <w:rFonts w:asciiTheme="majorBidi" w:hAnsiTheme="majorBidi" w:cstheme="majorBidi"/>
          <w:b/>
          <w:bCs/>
          <w:i/>
          <w:iCs/>
          <w:sz w:val="18"/>
          <w:szCs w:val="18"/>
          <w:rtl/>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rPr>
        <w:t>شاه علم - ماليزيا</w:t>
      </w:r>
    </w:p>
    <w:p w:rsidR="009A5291" w:rsidRPr="000F24CC" w:rsidRDefault="000F24CC" w:rsidP="000F24CC">
      <w:pPr>
        <w:jc w:val="center"/>
        <w:rPr>
          <w:rFonts w:asciiTheme="majorBidi" w:eastAsia="SimSun" w:hAnsiTheme="majorBidi" w:cstheme="majorBidi" w:hint="cs"/>
          <w:b/>
          <w:bCs/>
          <w:i/>
          <w:iCs/>
          <w:sz w:val="18"/>
          <w:szCs w:val="18"/>
          <w:rtl/>
          <w:lang w:eastAsia="zh-CN"/>
        </w:rPr>
      </w:pPr>
      <w:hyperlink r:id="rId8" w:history="1">
        <w:r w:rsidRPr="000F24CC">
          <w:rPr>
            <w:rFonts w:asciiTheme="majorBidi" w:eastAsia="SimSun" w:hAnsiTheme="majorBidi" w:cstheme="majorBidi"/>
            <w:i/>
            <w:iCs/>
            <w:sz w:val="18"/>
            <w:szCs w:val="18"/>
            <w:lang w:eastAsia="zh-CN"/>
          </w:rPr>
          <w:t>fatma.alsayed@mediu.ws</w:t>
        </w:r>
      </w:hyperlink>
    </w:p>
    <w:p w:rsidR="000F24CC" w:rsidRDefault="000F24CC" w:rsidP="000F24CC">
      <w:pPr>
        <w:jc w:val="center"/>
        <w:rPr>
          <w:rFonts w:hint="cs"/>
          <w:b/>
          <w:bCs/>
          <w:sz w:val="28"/>
          <w:szCs w:val="28"/>
          <w:rtl/>
          <w:lang w:bidi="ar-EG"/>
        </w:rPr>
      </w:pPr>
    </w:p>
    <w:p w:rsidR="000F24CC" w:rsidRDefault="000F24CC" w:rsidP="000F24CC">
      <w:pPr>
        <w:jc w:val="center"/>
        <w:rPr>
          <w:rFonts w:asciiTheme="majorBidi" w:hAnsiTheme="majorBidi" w:cstheme="majorBidi"/>
          <w:b/>
          <w:bCs/>
          <w:sz w:val="18"/>
          <w:szCs w:val="18"/>
        </w:rPr>
      </w:pPr>
    </w:p>
    <w:p w:rsidR="009A5291" w:rsidRDefault="009A5291" w:rsidP="009A5291">
      <w:pPr>
        <w:jc w:val="right"/>
        <w:rPr>
          <w:rFonts w:asciiTheme="majorBidi" w:hAnsiTheme="majorBidi" w:cstheme="majorBidi"/>
          <w:b/>
          <w:bCs/>
          <w:sz w:val="18"/>
          <w:szCs w:val="18"/>
          <w:rtl/>
        </w:rPr>
        <w:sectPr w:rsidR="009A5291" w:rsidSect="006217FA">
          <w:headerReference w:type="even" r:id="rId9"/>
          <w:footerReference w:type="even" r:id="rId10"/>
          <w:pgSz w:w="11906" w:h="16838" w:code="9"/>
          <w:pgMar w:top="731" w:right="737" w:bottom="2432" w:left="737" w:header="709" w:footer="709" w:gutter="0"/>
          <w:cols w:space="708"/>
          <w:titlePg/>
          <w:bidi/>
          <w:rtlGutter/>
          <w:docGrid w:linePitch="360"/>
        </w:sectPr>
      </w:pPr>
    </w:p>
    <w:p w:rsidR="009A5291" w:rsidRPr="009A5291" w:rsidRDefault="009A5291" w:rsidP="009A5291">
      <w:pPr>
        <w:bidi/>
        <w:jc w:val="right"/>
        <w:rPr>
          <w:rFonts w:asciiTheme="majorBidi" w:eastAsia="Calibri" w:hAnsiTheme="majorBidi" w:cstheme="majorBidi"/>
          <w:b/>
          <w:bCs/>
          <w:i/>
          <w:iCs/>
          <w:sz w:val="18"/>
          <w:szCs w:val="18"/>
          <w:rtl/>
        </w:rPr>
      </w:pPr>
      <w:r w:rsidRPr="009A5291">
        <w:rPr>
          <w:rFonts w:asciiTheme="majorBidi" w:hAnsiTheme="majorBidi" w:cstheme="majorBidi" w:hint="cs"/>
          <w:b/>
          <w:bCs/>
          <w:sz w:val="18"/>
          <w:szCs w:val="18"/>
          <w:rtl/>
        </w:rPr>
        <w:lastRenderedPageBreak/>
        <w:t>خلاصة هذا البحث فى :</w:t>
      </w:r>
      <w:r w:rsidRPr="009A5291">
        <w:rPr>
          <w:rFonts w:asciiTheme="majorBidi" w:eastAsia="Calibri" w:hAnsiTheme="majorBidi" w:cstheme="majorBidi" w:hint="cs"/>
          <w:b/>
          <w:bCs/>
          <w:i/>
          <w:iCs/>
          <w:sz w:val="18"/>
          <w:szCs w:val="18"/>
          <w:rtl/>
        </w:rPr>
        <w:t xml:space="preserve"> من البابية إلى البهائية</w:t>
      </w:r>
      <w:r w:rsidRPr="009A5291">
        <w:rPr>
          <w:rFonts w:asciiTheme="majorBidi" w:eastAsia="Calibri" w:hAnsiTheme="majorBidi" w:cstheme="majorBidi"/>
          <w:b/>
          <w:bCs/>
          <w:sz w:val="18"/>
          <w:szCs w:val="18"/>
          <w:rtl/>
        </w:rPr>
        <w:tab/>
      </w:r>
      <w:r w:rsidRPr="009A5291">
        <w:rPr>
          <w:rFonts w:asciiTheme="majorBidi" w:eastAsia="Calibri" w:hAnsiTheme="majorBidi" w:cstheme="majorBidi"/>
          <w:b/>
          <w:bCs/>
          <w:sz w:val="18"/>
          <w:szCs w:val="18"/>
          <w:rtl/>
        </w:rPr>
        <w:tab/>
      </w:r>
    </w:p>
    <w:p w:rsidR="009A5291" w:rsidRPr="00916DA5" w:rsidRDefault="009A5291" w:rsidP="009A5291">
      <w:pPr>
        <w:tabs>
          <w:tab w:val="left" w:pos="4666"/>
          <w:tab w:val="left" w:pos="5244"/>
        </w:tabs>
        <w:bidi/>
        <w:spacing w:before="60"/>
        <w:rPr>
          <w:rFonts w:asciiTheme="majorBidi" w:eastAsia="Calibri" w:hAnsiTheme="majorBidi" w:cstheme="majorBidi"/>
          <w:b/>
          <w:bCs/>
          <w:sz w:val="18"/>
          <w:szCs w:val="18"/>
          <w:rtl/>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خنست، البابيه، مقتل</w:t>
      </w:r>
      <w:r>
        <w:rPr>
          <w:rFonts w:asciiTheme="majorBidi" w:eastAsia="Calibri" w:hAnsiTheme="majorBidi" w:cstheme="majorBidi"/>
          <w:b/>
          <w:bCs/>
          <w:sz w:val="18"/>
          <w:szCs w:val="18"/>
          <w:rtl/>
        </w:rPr>
        <w:tab/>
      </w:r>
      <w:r>
        <w:rPr>
          <w:rFonts w:asciiTheme="majorBidi" w:eastAsia="Calibri" w:hAnsiTheme="majorBidi" w:cstheme="majorBidi"/>
          <w:b/>
          <w:bCs/>
          <w:sz w:val="18"/>
          <w:szCs w:val="18"/>
          <w:rtl/>
        </w:rPr>
        <w:tab/>
      </w:r>
    </w:p>
    <w:p w:rsidR="009A5291" w:rsidRPr="00916DA5" w:rsidRDefault="009A5291" w:rsidP="009A5291">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9A5291" w:rsidRPr="009A5291" w:rsidRDefault="009A5291" w:rsidP="009A5291">
      <w:pPr>
        <w:jc w:val="right"/>
        <w:rPr>
          <w:rFonts w:asciiTheme="majorBidi" w:eastAsia="Calibri" w:hAnsiTheme="majorBidi" w:cstheme="majorBidi"/>
          <w:b/>
          <w:bCs/>
          <w:i/>
          <w:iCs/>
          <w:sz w:val="18"/>
          <w:szCs w:val="18"/>
        </w:rPr>
      </w:pPr>
      <w:r w:rsidRPr="009A5291">
        <w:rPr>
          <w:rFonts w:asciiTheme="majorBidi" w:eastAsia="Calibri" w:hAnsiTheme="majorBidi" w:cstheme="majorBidi"/>
          <w:b/>
          <w:bCs/>
          <w:i/>
          <w:i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9A5291">
        <w:rPr>
          <w:rFonts w:asciiTheme="majorBidi" w:eastAsia="Calibri" w:hAnsiTheme="majorBidi" w:cstheme="majorBidi" w:hint="cs"/>
          <w:b/>
          <w:bCs/>
          <w:i/>
          <w:iCs/>
          <w:sz w:val="18"/>
          <w:szCs w:val="18"/>
          <w:rtl/>
        </w:rPr>
        <w:t>من البابية إلى البهائية</w:t>
      </w:r>
    </w:p>
    <w:p w:rsidR="009A5291" w:rsidRPr="009A5291" w:rsidRDefault="009A5291" w:rsidP="009A5291">
      <w:pPr>
        <w:tabs>
          <w:tab w:val="left" w:pos="1704"/>
        </w:tabs>
        <w:bidi/>
        <w:spacing w:before="60"/>
        <w:rPr>
          <w:rFonts w:asciiTheme="majorBidi" w:hAnsiTheme="majorBidi" w:cstheme="majorBidi"/>
          <w:b/>
          <w:bCs/>
          <w:sz w:val="18"/>
          <w:szCs w:val="18"/>
          <w:rtl/>
        </w:rPr>
      </w:pPr>
      <w:r>
        <w:rPr>
          <w:rFonts w:asciiTheme="majorBidi" w:hAnsiTheme="majorBidi" w:cstheme="majorBidi"/>
          <w:b/>
          <w:bCs/>
          <w:sz w:val="18"/>
          <w:szCs w:val="18"/>
          <w:rtl/>
        </w:rPr>
        <w:tab/>
      </w:r>
    </w:p>
    <w:p w:rsidR="009A5291" w:rsidRPr="009A5291" w:rsidRDefault="009A5291" w:rsidP="009A5291">
      <w:pPr>
        <w:pStyle w:val="ListParagraph"/>
        <w:numPr>
          <w:ilvl w:val="0"/>
          <w:numId w:val="3"/>
        </w:numPr>
        <w:spacing w:after="0" w:line="240" w:lineRule="auto"/>
        <w:ind w:left="733" w:hanging="90"/>
        <w:jc w:val="center"/>
        <w:rPr>
          <w:rFonts w:asciiTheme="majorBidi" w:hAnsiTheme="majorBidi" w:cstheme="majorBidi"/>
          <w:b/>
          <w:bCs/>
          <w:i/>
          <w:iCs/>
          <w:sz w:val="18"/>
          <w:szCs w:val="18"/>
          <w:rtl/>
        </w:rPr>
      </w:pPr>
      <w:r w:rsidRPr="009A5291">
        <w:rPr>
          <w:rFonts w:asciiTheme="majorBidi" w:hAnsiTheme="majorBidi" w:cstheme="majorBidi"/>
          <w:b/>
          <w:bCs/>
          <w:i/>
          <w:iCs/>
          <w:sz w:val="18"/>
          <w:szCs w:val="18"/>
          <w:rtl/>
        </w:rPr>
        <w:t>.عنوان المقال</w:t>
      </w:r>
      <w:r w:rsidRPr="009A5291">
        <w:rPr>
          <w:rFonts w:asciiTheme="majorBidi" w:hAnsiTheme="majorBidi" w:cstheme="majorBidi" w:hint="cs"/>
          <w:b/>
          <w:bCs/>
          <w:i/>
          <w:iCs/>
          <w:sz w:val="18"/>
          <w:szCs w:val="18"/>
          <w:rtl/>
        </w:rPr>
        <w:t>ة</w:t>
      </w:r>
    </w:p>
    <w:p w:rsidR="009A5291" w:rsidRPr="009A5291" w:rsidRDefault="009A5291" w:rsidP="009A5291">
      <w:pPr>
        <w:pStyle w:val="NormalWeb"/>
        <w:bidi/>
        <w:ind w:left="0" w:right="0"/>
        <w:jc w:val="lowKashida"/>
        <w:rPr>
          <w:rFonts w:cs="Times New Roman"/>
          <w:sz w:val="18"/>
          <w:szCs w:val="18"/>
          <w:rtl/>
        </w:rPr>
      </w:pPr>
      <w:r w:rsidRPr="009A5291">
        <w:rPr>
          <w:rFonts w:cs="Times New Roman" w:hint="cs"/>
          <w:sz w:val="18"/>
          <w:szCs w:val="18"/>
          <w:rtl/>
          <w:lang w:bidi="ar-EG"/>
        </w:rPr>
        <w:t xml:space="preserve">لقد خنست البابية مكرهة بعد مقتل الباب، ولكنها كانت تسارق الثورة النظر، وتعمل بجد في الخفاء؛ بغية الأخذ بثأر الباب، وكان البابيون مختلفين على أنفسهم في عقيدتهم وشريعتهم؛ إذ كانت آراء الباب الموروثة نفسها متناقضة متباينة، وكان ما عند جماعة من كتبه وأقواله يخالف ما عند الآخرين؛ ولهذا كثر القول بالنسخ، وما كانت تحكم جماعة منهم بنسخه تثبته جماعة أخرى، هذا إلى ما كان يقترفه البابيون من خطايا وفواحش جعلت كلمة "باب" مرادفة في مفهومها لكلمتي الكفر والخطيئة، على أن البابية رغم اختلافهم كان يوحد بينهم هدف واحد، هو الرغبة في الثأر والانتقام؛ لهذا ألَّفوا جمعية سرية كانت غايتها الفتك بكل معارض، وبخاصة إذا كان من المسلمين، وكانت هذه الجمعية برئاسة سليمان خان أحد رجال تشريفات الشاه، وابن أكبر زعيم في قبيلة الأفشار، وكان الميرزا حسين علي الذي لقب بعدُ بالبهاء، هو الرأس المدبر المفكر لهذه الجماعة، وكان أعضاء هذه الجماعة يقضون على أعدائهم إما بالذبح، وإما بالسم، وإما بالخناجر المسممة. </w:t>
      </w:r>
    </w:p>
    <w:p w:rsidR="009A5291" w:rsidRPr="009A5291" w:rsidRDefault="009A5291" w:rsidP="009A5291">
      <w:pPr>
        <w:pStyle w:val="NormalWeb"/>
        <w:bidi/>
        <w:ind w:left="0" w:right="0"/>
        <w:jc w:val="lowKashida"/>
        <w:rPr>
          <w:rFonts w:cs="Times New Roman"/>
          <w:sz w:val="18"/>
          <w:szCs w:val="18"/>
          <w:rtl/>
          <w:lang w:bidi="ar-EG"/>
        </w:rPr>
      </w:pPr>
      <w:r w:rsidRPr="009A5291">
        <w:rPr>
          <w:rFonts w:cs="Times New Roman" w:hint="cs"/>
          <w:sz w:val="18"/>
          <w:szCs w:val="18"/>
          <w:rtl/>
          <w:lang w:bidi="ar-EG"/>
        </w:rPr>
        <w:t>والبابية حاولت قتل الشاه، وكلفت الجمعية السرية البابية، اثنين من أعضائها بقتل الشاه، ولكنهما فشلا وقُبض عليهما، فقتل أحدهما وجرح الآخر، فأفضى هذا بأسماء أعضاء الجمعية، ثم تجرع الموت، ثم كانت الإبادة، حيث قرر الشاه وحكومته إبادة البابيين ففتكت بمن وقع في يدها منهم، وعلى رأسهم سليمان خان، أما مرزا حسين علي وهو رأس الفتنة، فقد أودع السجن فقط؛ إذ أسرع الاستعمار الروسي لمساندة الخائن الجديد.</w:t>
      </w:r>
    </w:p>
    <w:p w:rsidR="009A5291" w:rsidRDefault="009A5291" w:rsidP="009A5291">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9A5291" w:rsidRPr="00545C45" w:rsidRDefault="009A5291" w:rsidP="009A529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9A5291" w:rsidRPr="00545C45" w:rsidRDefault="009A5291" w:rsidP="009A5291">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9A5291" w:rsidRPr="00545C45" w:rsidRDefault="009A5291" w:rsidP="009A529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9A5291" w:rsidRPr="00545C45" w:rsidRDefault="009A5291" w:rsidP="009A529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9A5291" w:rsidRPr="00545C45" w:rsidRDefault="009A5291" w:rsidP="009A529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9A5291" w:rsidRPr="00545C45" w:rsidRDefault="009A5291" w:rsidP="009A529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9A5291" w:rsidRPr="00545C45" w:rsidRDefault="009A5291" w:rsidP="009A529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9A5291" w:rsidRPr="00545C45" w:rsidRDefault="009A5291" w:rsidP="009A529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9A5291" w:rsidRPr="00545C45" w:rsidRDefault="009A5291" w:rsidP="009A529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9A5291" w:rsidRPr="00545C45" w:rsidRDefault="009A5291" w:rsidP="009A5291">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9A5291" w:rsidRPr="00545C45" w:rsidRDefault="009A5291" w:rsidP="009A529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9A5291" w:rsidRPr="00545C45" w:rsidRDefault="009A5291" w:rsidP="009A529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9A5291" w:rsidRPr="00545C45" w:rsidRDefault="009A5291" w:rsidP="009A5291">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9A5291" w:rsidRPr="009A5291" w:rsidRDefault="009A5291" w:rsidP="009A5291">
      <w:pPr>
        <w:spacing w:line="500" w:lineRule="exact"/>
        <w:rPr>
          <w:rFonts w:ascii="Calibri" w:eastAsia="Calibri" w:hAnsi="Calibri"/>
          <w:sz w:val="32"/>
          <w:szCs w:val="32"/>
        </w:rPr>
        <w:sectPr w:rsidR="009A5291" w:rsidRPr="009A5291" w:rsidSect="009A5291">
          <w:type w:val="continuous"/>
          <w:pgSz w:w="11906" w:h="16838" w:code="9"/>
          <w:pgMar w:top="731" w:right="737" w:bottom="2432" w:left="737" w:header="709" w:footer="709" w:gutter="0"/>
          <w:cols w:num="2" w:space="708"/>
          <w:titlePg/>
          <w:bidi/>
          <w:rtlGutter/>
          <w:docGrid w:linePitch="360"/>
        </w:sectPr>
      </w:pPr>
    </w:p>
    <w:p w:rsidR="004219C3" w:rsidRPr="009A5291" w:rsidRDefault="004219C3" w:rsidP="009A5291">
      <w:pPr>
        <w:spacing w:before="60"/>
        <w:jc w:val="center"/>
        <w:rPr>
          <w:rFonts w:asciiTheme="majorBidi" w:eastAsia="Calibri" w:hAnsiTheme="majorBidi" w:cstheme="majorBidi"/>
          <w:sz w:val="44"/>
          <w:szCs w:val="44"/>
        </w:rPr>
      </w:pPr>
    </w:p>
    <w:sectPr w:rsidR="004219C3" w:rsidRPr="009A5291" w:rsidSect="009A5291">
      <w:pgSz w:w="11906" w:h="16838"/>
      <w:pgMar w:top="731" w:right="737" w:bottom="2432" w:left="73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5AC" w:rsidRDefault="006B75AC" w:rsidP="003B2924">
      <w:r>
        <w:separator/>
      </w:r>
    </w:p>
  </w:endnote>
  <w:endnote w:type="continuationSeparator" w:id="1">
    <w:p w:rsidR="006B75AC" w:rsidRDefault="006B75AC" w:rsidP="003B29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Mateen">
    <w:charset w:val="B2"/>
    <w:family w:val="auto"/>
    <w:pitch w:val="variable"/>
    <w:sig w:usb0="00002001" w:usb1="00000000" w:usb2="00000000" w:usb3="00000000" w:csb0="00000040" w:csb1="00000000"/>
  </w:font>
  <w:font w:name="AGA Granada Regular">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6A" w:rsidRPr="00C54812" w:rsidRDefault="006B75AC"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5AC" w:rsidRDefault="006B75AC" w:rsidP="003B2924">
      <w:r>
        <w:separator/>
      </w:r>
    </w:p>
  </w:footnote>
  <w:footnote w:type="continuationSeparator" w:id="1">
    <w:p w:rsidR="006B75AC" w:rsidRDefault="006B75AC" w:rsidP="003B29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3B2924">
    <w:pPr>
      <w:pStyle w:val="Header"/>
    </w:pPr>
    <w:r>
      <w:rPr>
        <w:noProof/>
      </w:rPr>
      <w:pict>
        <v:group id="_x0000_s1025" style="position:absolute;margin-left:3.5pt;margin-top:76.0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607D56" w:rsidRPr="00907733" w:rsidRDefault="003B2924"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C13D9B"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C13D9B">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607D56" w:rsidRPr="00E31343" w:rsidRDefault="006B75AC" w:rsidP="00832151">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o:shapelayout v:ext="edit">
      <o:idmap v:ext="edit" data="1"/>
      <o:rules v:ext="edit">
        <o:r id="V:Rule2" type="connector" idref="#_x0000_s1028"/>
      </o:rules>
    </o:shapelayout>
  </w:hdrShapeDefaults>
  <w:footnotePr>
    <w:footnote w:id="0"/>
    <w:footnote w:id="1"/>
  </w:footnotePr>
  <w:endnotePr>
    <w:endnote w:id="0"/>
    <w:endnote w:id="1"/>
  </w:endnotePr>
  <w:compat/>
  <w:rsids>
    <w:rsidRoot w:val="009A5291"/>
    <w:rsid w:val="000F24CC"/>
    <w:rsid w:val="001A2769"/>
    <w:rsid w:val="003B2924"/>
    <w:rsid w:val="004168A0"/>
    <w:rsid w:val="004219C3"/>
    <w:rsid w:val="00593D06"/>
    <w:rsid w:val="006B75AC"/>
    <w:rsid w:val="009A5291"/>
    <w:rsid w:val="00C13D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2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52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A5291"/>
    <w:pPr>
      <w:ind w:left="75" w:right="75"/>
      <w:jc w:val="both"/>
    </w:pPr>
    <w:rPr>
      <w:rFonts w:ascii="Tahoma" w:hAnsi="Tahoma" w:cs="Tahoma"/>
      <w:sz w:val="36"/>
      <w:szCs w:val="36"/>
    </w:rPr>
  </w:style>
  <w:style w:type="paragraph" w:styleId="Header">
    <w:name w:val="header"/>
    <w:basedOn w:val="Normal"/>
    <w:link w:val="HeaderChar"/>
    <w:rsid w:val="009A5291"/>
    <w:pPr>
      <w:tabs>
        <w:tab w:val="center" w:pos="4153"/>
        <w:tab w:val="right" w:pos="8306"/>
      </w:tabs>
    </w:pPr>
  </w:style>
  <w:style w:type="character" w:customStyle="1" w:styleId="HeaderChar">
    <w:name w:val="Header Char"/>
    <w:basedOn w:val="DefaultParagraphFont"/>
    <w:link w:val="Header"/>
    <w:rsid w:val="009A5291"/>
    <w:rPr>
      <w:rFonts w:ascii="Times New Roman" w:eastAsia="Times New Roman" w:hAnsi="Times New Roman" w:cs="Times New Roman"/>
      <w:sz w:val="24"/>
      <w:szCs w:val="24"/>
    </w:rPr>
  </w:style>
  <w:style w:type="paragraph" w:styleId="Footer">
    <w:name w:val="footer"/>
    <w:basedOn w:val="Normal"/>
    <w:link w:val="FooterChar"/>
    <w:rsid w:val="009A5291"/>
    <w:pPr>
      <w:tabs>
        <w:tab w:val="center" w:pos="4153"/>
        <w:tab w:val="right" w:pos="8306"/>
      </w:tabs>
    </w:pPr>
  </w:style>
  <w:style w:type="character" w:customStyle="1" w:styleId="FooterChar">
    <w:name w:val="Footer Char"/>
    <w:basedOn w:val="DefaultParagraphFont"/>
    <w:link w:val="Footer"/>
    <w:rsid w:val="009A5291"/>
    <w:rPr>
      <w:rFonts w:ascii="Times New Roman" w:eastAsia="Times New Roman" w:hAnsi="Times New Roman" w:cs="Times New Roman"/>
      <w:sz w:val="24"/>
      <w:szCs w:val="24"/>
    </w:rPr>
  </w:style>
  <w:style w:type="character" w:styleId="PageNumber">
    <w:name w:val="page number"/>
    <w:basedOn w:val="DefaultParagraphFont"/>
    <w:rsid w:val="009A5291"/>
  </w:style>
  <w:style w:type="paragraph" w:customStyle="1" w:styleId="Affiliation">
    <w:name w:val="Affiliation"/>
    <w:rsid w:val="009A5291"/>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9A5291"/>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9A5291"/>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0F24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tma.alsayed@mediu.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CACDA-4525-4332-84C1-707D70B4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471</Words>
  <Characters>2689</Characters>
  <Application>Microsoft Office Word</Application>
  <DocSecurity>0</DocSecurity>
  <Lines>22</Lines>
  <Paragraphs>6</Paragraphs>
  <ScaleCrop>false</ScaleCrop>
  <Company>Fannan</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2013-06-21T18:43:00Z</dcterms:created>
  <dcterms:modified xsi:type="dcterms:W3CDTF">2013-07-03T09:34:00Z</dcterms:modified>
</cp:coreProperties>
</file>