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56" w:rsidRDefault="00F43956" w:rsidP="00965715">
      <w:pPr>
        <w:spacing w:before="60" w:after="80"/>
        <w:jc w:val="center"/>
        <w:rPr>
          <w:b/>
          <w:bCs/>
          <w:sz w:val="44"/>
          <w:szCs w:val="44"/>
          <w:rtl/>
        </w:rPr>
      </w:pPr>
      <w:r w:rsidRPr="00965715">
        <w:rPr>
          <w:b/>
          <w:bCs/>
          <w:sz w:val="44"/>
          <w:szCs w:val="44"/>
          <w:rtl/>
        </w:rPr>
        <w:t>فهم الخلف للمحكم والمتشابه ورد أهل السنة عليهم</w:t>
      </w:r>
    </w:p>
    <w:p w:rsidR="00F43956" w:rsidRDefault="00F43956" w:rsidP="00965715">
      <w:pPr>
        <w:jc w:val="center"/>
        <w:rPr>
          <w:rFonts w:hint="cs"/>
          <w:b/>
          <w:bCs/>
          <w:i/>
          <w:iCs/>
          <w:sz w:val="28"/>
          <w:szCs w:val="28"/>
          <w:rtl/>
        </w:rPr>
      </w:pPr>
      <w:r w:rsidRPr="00113800">
        <w:rPr>
          <w:b/>
          <w:bCs/>
          <w:i/>
          <w:iCs/>
          <w:sz w:val="28"/>
          <w:szCs w:val="28"/>
          <w:rtl/>
        </w:rPr>
        <w:t>بحث فى : توحيد الصفات</w:t>
      </w:r>
    </w:p>
    <w:p w:rsidR="00E3344E" w:rsidRPr="00113800" w:rsidRDefault="00E3344E" w:rsidP="00965715">
      <w:pPr>
        <w:jc w:val="center"/>
        <w:rPr>
          <w:b/>
          <w:bCs/>
          <w:i/>
          <w:iCs/>
          <w:color w:val="4F81BD"/>
          <w:sz w:val="28"/>
          <w:szCs w:val="28"/>
          <w:rtl/>
          <w:lang w:bidi="ar-EG"/>
        </w:rPr>
      </w:pPr>
    </w:p>
    <w:p w:rsidR="00F43956" w:rsidRPr="00E3344E" w:rsidRDefault="00F43956" w:rsidP="00E3344E">
      <w:pPr>
        <w:pStyle w:val="Author"/>
        <w:tabs>
          <w:tab w:val="left" w:pos="4366"/>
          <w:tab w:val="center" w:pos="5244"/>
        </w:tabs>
        <w:bidi/>
        <w:spacing w:before="0" w:after="0"/>
        <w:rPr>
          <w:i/>
          <w:iCs/>
          <w:sz w:val="28"/>
          <w:szCs w:val="28"/>
          <w:lang w:eastAsia="zh-CN"/>
        </w:rPr>
      </w:pPr>
      <w:r w:rsidRPr="00E3344E">
        <w:rPr>
          <w:i/>
          <w:iCs/>
          <w:sz w:val="28"/>
          <w:szCs w:val="28"/>
          <w:rtl/>
          <w:lang w:eastAsia="zh-CN"/>
        </w:rPr>
        <w:t xml:space="preserve">إعداد / </w:t>
      </w:r>
      <w:r w:rsidR="00E3344E" w:rsidRPr="00E3344E">
        <w:rPr>
          <w:i/>
          <w:iCs/>
          <w:sz w:val="28"/>
          <w:szCs w:val="28"/>
          <w:rtl/>
          <w:lang w:eastAsia="zh-CN"/>
        </w:rPr>
        <w:t>عادل محمد فتحي</w:t>
      </w:r>
      <w:r w:rsidR="00E3344E" w:rsidRPr="00E3344E">
        <w:rPr>
          <w:rFonts w:hint="cs"/>
          <w:i/>
          <w:iCs/>
          <w:sz w:val="28"/>
          <w:szCs w:val="28"/>
          <w:rtl/>
          <w:lang w:eastAsia="zh-CN"/>
        </w:rPr>
        <w:t xml:space="preserve">  </w:t>
      </w:r>
    </w:p>
    <w:p w:rsidR="00F43956" w:rsidRPr="00E3344E" w:rsidRDefault="00F43956" w:rsidP="00965715">
      <w:pPr>
        <w:pStyle w:val="Affiliation"/>
        <w:bidi/>
        <w:rPr>
          <w:i/>
          <w:iCs/>
          <w:sz w:val="28"/>
          <w:szCs w:val="28"/>
        </w:rPr>
      </w:pPr>
      <w:r w:rsidRPr="00E3344E">
        <w:rPr>
          <w:i/>
          <w:iCs/>
          <w:sz w:val="28"/>
          <w:szCs w:val="28"/>
          <w:rtl/>
        </w:rPr>
        <w:t>قسم الدعوة وأصول الدين</w:t>
      </w:r>
    </w:p>
    <w:p w:rsidR="00F43956" w:rsidRPr="00E3344E" w:rsidRDefault="00F43956" w:rsidP="00965715">
      <w:pPr>
        <w:pStyle w:val="Affiliation"/>
        <w:bidi/>
        <w:rPr>
          <w:i/>
          <w:iCs/>
          <w:sz w:val="28"/>
          <w:szCs w:val="28"/>
        </w:rPr>
      </w:pPr>
      <w:r w:rsidRPr="00E3344E">
        <w:rPr>
          <w:i/>
          <w:iCs/>
          <w:sz w:val="28"/>
          <w:szCs w:val="28"/>
          <w:rtl/>
        </w:rPr>
        <w:t>كلية العلوم الإسلامية – جامعة المدينة العالمية</w:t>
      </w:r>
    </w:p>
    <w:p w:rsidR="00F43956" w:rsidRPr="00E3344E" w:rsidRDefault="00F43956" w:rsidP="00965715">
      <w:pPr>
        <w:pStyle w:val="Affiliation"/>
        <w:bidi/>
        <w:rPr>
          <w:i/>
          <w:iCs/>
          <w:sz w:val="28"/>
          <w:szCs w:val="28"/>
          <w:rtl/>
        </w:rPr>
      </w:pPr>
      <w:r w:rsidRPr="00E3344E">
        <w:rPr>
          <w:i/>
          <w:iCs/>
          <w:sz w:val="28"/>
          <w:szCs w:val="28"/>
          <w:rtl/>
        </w:rPr>
        <w:t>شاه علم - ماليزيا</w:t>
      </w:r>
    </w:p>
    <w:p w:rsidR="00F43956" w:rsidRPr="00E3344E" w:rsidRDefault="00E3344E" w:rsidP="00965715">
      <w:pPr>
        <w:tabs>
          <w:tab w:val="left" w:pos="4050"/>
        </w:tabs>
        <w:jc w:val="center"/>
        <w:rPr>
          <w:rFonts w:eastAsia="SimSun" w:hint="cs"/>
          <w:i/>
          <w:iCs/>
          <w:sz w:val="28"/>
          <w:szCs w:val="28"/>
          <w:rtl/>
          <w:lang w:eastAsia="zh-CN"/>
        </w:rPr>
      </w:pPr>
      <w:hyperlink r:id="rId5" w:history="1">
        <w:r w:rsidRPr="00E3344E">
          <w:rPr>
            <w:rFonts w:eastAsia="SimSun"/>
            <w:i/>
            <w:iCs/>
            <w:lang w:eastAsia="zh-CN"/>
          </w:rPr>
          <w:t>adel.mater@mediu.ws</w:t>
        </w:r>
      </w:hyperlink>
    </w:p>
    <w:p w:rsidR="00E3344E" w:rsidRDefault="00E3344E" w:rsidP="00965715">
      <w:pPr>
        <w:tabs>
          <w:tab w:val="left" w:pos="4050"/>
        </w:tabs>
        <w:jc w:val="center"/>
        <w:rPr>
          <w:rFonts w:hint="cs"/>
          <w:b/>
          <w:bCs/>
          <w:sz w:val="28"/>
          <w:szCs w:val="28"/>
          <w:rtl/>
          <w:lang w:bidi="ar-EG"/>
        </w:rPr>
      </w:pPr>
    </w:p>
    <w:p w:rsidR="00E3344E" w:rsidRPr="00113800" w:rsidRDefault="00E3344E" w:rsidP="00965715">
      <w:pPr>
        <w:tabs>
          <w:tab w:val="left" w:pos="4050"/>
        </w:tabs>
        <w:jc w:val="center"/>
        <w:rPr>
          <w:b/>
          <w:bCs/>
          <w:i/>
          <w:iCs/>
          <w:sz w:val="28"/>
          <w:szCs w:val="28"/>
          <w:lang w:bidi="ar-EG"/>
        </w:rPr>
      </w:pPr>
    </w:p>
    <w:p w:rsidR="00F43956" w:rsidRDefault="00F43956" w:rsidP="00965715">
      <w:pPr>
        <w:spacing w:before="60" w:after="80"/>
        <w:rPr>
          <w:b/>
          <w:bCs/>
          <w:sz w:val="18"/>
          <w:szCs w:val="18"/>
          <w:rtl/>
        </w:rPr>
        <w:sectPr w:rsidR="00F43956" w:rsidSect="00965715">
          <w:pgSz w:w="11906" w:h="16838"/>
          <w:pgMar w:top="731" w:right="737" w:bottom="731" w:left="737" w:header="709" w:footer="709" w:gutter="0"/>
          <w:cols w:space="708"/>
          <w:bidi/>
          <w:rtlGutter/>
          <w:docGrid w:linePitch="360"/>
        </w:sectPr>
      </w:pPr>
    </w:p>
    <w:p w:rsidR="00F43956" w:rsidRPr="00916DA5" w:rsidRDefault="00F43956" w:rsidP="00965715">
      <w:pPr>
        <w:spacing w:before="60" w:after="80"/>
        <w:rPr>
          <w:b/>
          <w:bCs/>
          <w:sz w:val="18"/>
          <w:szCs w:val="18"/>
          <w:rtl/>
        </w:rPr>
      </w:pPr>
      <w:r w:rsidRPr="00965715">
        <w:rPr>
          <w:b/>
          <w:bCs/>
          <w:sz w:val="18"/>
          <w:szCs w:val="18"/>
          <w:rtl/>
        </w:rPr>
        <w:lastRenderedPageBreak/>
        <w:t>خلاصة هذا البحث فى : فهم الخلف للمحكم والمتشابه ورد أهل السنة عليهم</w:t>
      </w:r>
      <w:r>
        <w:rPr>
          <w:b/>
          <w:bCs/>
          <w:sz w:val="18"/>
          <w:szCs w:val="18"/>
          <w:rtl/>
        </w:rPr>
        <w:tab/>
      </w:r>
    </w:p>
    <w:p w:rsidR="00F43956" w:rsidRPr="00916DA5" w:rsidRDefault="00F43956" w:rsidP="00965715">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الخلف، المحكم ، المتشابه</w:t>
      </w:r>
      <w:r>
        <w:rPr>
          <w:b/>
          <w:bCs/>
          <w:sz w:val="18"/>
          <w:szCs w:val="18"/>
          <w:rtl/>
        </w:rPr>
        <w:tab/>
      </w:r>
      <w:r>
        <w:rPr>
          <w:b/>
          <w:bCs/>
          <w:sz w:val="18"/>
          <w:szCs w:val="18"/>
          <w:rtl/>
        </w:rPr>
        <w:tab/>
      </w:r>
    </w:p>
    <w:p w:rsidR="00F43956" w:rsidRPr="00916DA5" w:rsidRDefault="00F43956" w:rsidP="00965715">
      <w:pPr>
        <w:pStyle w:val="ListParagraph"/>
        <w:numPr>
          <w:ilvl w:val="0"/>
          <w:numId w:val="2"/>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F43956" w:rsidRPr="00916DA5" w:rsidRDefault="00F43956" w:rsidP="00965715">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65715">
        <w:rPr>
          <w:b/>
          <w:bCs/>
          <w:sz w:val="18"/>
          <w:szCs w:val="18"/>
          <w:rtl/>
        </w:rPr>
        <w:t>فهم الخلف للمحكم والمتشابه ورد أهل السنة عليهم</w:t>
      </w:r>
    </w:p>
    <w:p w:rsidR="00F43956" w:rsidRPr="007E5667" w:rsidRDefault="00F43956" w:rsidP="00965715">
      <w:pPr>
        <w:pStyle w:val="ListParagraph"/>
        <w:numPr>
          <w:ilvl w:val="0"/>
          <w:numId w:val="3"/>
        </w:numPr>
        <w:tabs>
          <w:tab w:val="left" w:pos="226"/>
        </w:tabs>
        <w:spacing w:before="120" w:after="120"/>
        <w:ind w:left="651" w:hanging="567"/>
        <w:jc w:val="center"/>
        <w:rPr>
          <w:b/>
          <w:bCs/>
          <w:i/>
          <w:iCs/>
          <w:sz w:val="20"/>
          <w:szCs w:val="20"/>
          <w:rtl/>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فمن المسائل الشائكة المتعلقة بالأسماء والصفات مسألة المحكم والمتشابه، حيث استغلها كثير من المخالفين في الترويج لمذهبهم الفاسد من التعطيل، ولهذا لا بد من بيان هذه المسألة، وما يحيط بها من المسائل.</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اعلم أنه لما قال علماء الخلف من الأشعرية بأن نصوص الصفات الإلهية موهمة للتشبيه والجسمية، تغير تبعًا لذلك مفهوم المحكم والمتشابه عندهم وعند أتباعهم من معنى سلفي يعتبر المتشابه من القرآن آياتٍ معلومات المعنى واضحات الدلالة، ظاهرها مراد في حق الله، وليس كمثله شيء في حقائقها، وأن المجهول فقط هو كيفية الصفات الإلهية التي دلت عليها هذه الآيات، تغيَّر مفهوم المتشابه عندهم إلى اعتبار هذه النصوص نصوصًا تدل على ظاهر باطل محال، يحمل التشبيه والتجسيم، ويجب صرفه عن الصورة المنفِّرة التي صورها لربهم، كل ذلك ليجعلوا الناس مؤيدين لآرائهم وأصولهم، مهيئين لقبول تأويلهم وتبديلهم.</w:t>
      </w:r>
    </w:p>
    <w:p w:rsidR="00F43956" w:rsidRPr="00965715" w:rsidRDefault="00F43956" w:rsidP="00965715">
      <w:pPr>
        <w:pStyle w:val="NormalWeb"/>
        <w:bidi/>
        <w:spacing w:before="0" w:beforeAutospacing="0" w:after="0" w:afterAutospacing="0"/>
        <w:jc w:val="lowKashida"/>
        <w:rPr>
          <w:spacing w:val="4"/>
          <w:sz w:val="18"/>
          <w:szCs w:val="18"/>
        </w:rPr>
      </w:pPr>
      <w:r w:rsidRPr="00965715">
        <w:rPr>
          <w:spacing w:val="4"/>
          <w:sz w:val="18"/>
          <w:szCs w:val="18"/>
          <w:rtl/>
        </w:rPr>
        <w:t>ثم طرحوا بديلًا آخرَ أمام الناس كخيار ينسبونه لعقيدة السلف، وهو القول: بأن نصوص الصفات الإلهية معانيها معانٍ مجهولة أعجمية، يفوض فيها الأمر والعلم إلى الله، ثم ألصقوا هذا الطرحَ بدعوى التسليم وعدم الخوض في توحيد الصفات كما كان شأن السلف، ومن هنا كان لا بد من تحقيق الأمر في قضية المحكم والمتشابه، وتجليته بصورة حقيقية تبين حقيقةَ الفهم السلفي الصحيح.</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 xml:space="preserve">يذكر أبو بكر الجصاص أن كلًّا من المحكم والمتشابه في القرآن ينقسم إلى معنيين: </w:t>
      </w:r>
    </w:p>
    <w:p w:rsidR="00F43956" w:rsidRPr="00965715" w:rsidRDefault="00F43956" w:rsidP="00965715">
      <w:pPr>
        <w:pStyle w:val="NormalWeb"/>
        <w:bidi/>
        <w:spacing w:before="0" w:beforeAutospacing="0" w:after="0" w:afterAutospacing="0"/>
        <w:jc w:val="both"/>
        <w:rPr>
          <w:sz w:val="18"/>
          <w:szCs w:val="18"/>
        </w:rPr>
      </w:pPr>
      <w:r w:rsidRPr="00965715">
        <w:rPr>
          <w:spacing w:val="-4"/>
          <w:sz w:val="18"/>
          <w:szCs w:val="18"/>
          <w:rtl/>
        </w:rPr>
        <w:t xml:space="preserve">أحدهما: يصح وصف القرآن بجميعه، والآخر: إنما يختص به بعض القرآن دون بعض، قال تعالى: </w:t>
      </w:r>
      <w:r w:rsidRPr="00965715">
        <w:rPr>
          <w:rFonts w:ascii="Tahoma" w:hAnsi="Tahoma" w:cs="DecoType Thuluth"/>
          <w:spacing w:val="-4"/>
          <w:sz w:val="18"/>
          <w:szCs w:val="18"/>
          <w:rtl/>
        </w:rPr>
        <w:t>{</w:t>
      </w:r>
      <w:r w:rsidRPr="00965715">
        <w:rPr>
          <w:rFonts w:ascii="QCF_P221" w:hAnsi="QCF_P221" w:cs="QCF_P221"/>
          <w:spacing w:val="-4"/>
          <w:sz w:val="18"/>
          <w:szCs w:val="18"/>
          <w:rtl/>
        </w:rPr>
        <w:t>ﮔ ﮕ ﮖ ﮗ ﮘ ﮙ ﮚ ﮛ ﮜ ﮝ ﮞ</w:t>
      </w:r>
      <w:r w:rsidRPr="00965715">
        <w:rPr>
          <w:rFonts w:ascii="QCF_P221" w:hAnsi="QCF_P221" w:cs="DecoType Thuluth"/>
          <w:spacing w:val="-4"/>
          <w:sz w:val="18"/>
          <w:szCs w:val="18"/>
          <w:rtl/>
        </w:rPr>
        <w:t>}</w:t>
      </w:r>
      <w:r w:rsidRPr="00965715">
        <w:rPr>
          <w:rFonts w:ascii="Tahoma" w:hAnsi="Tahoma"/>
          <w:spacing w:val="-4"/>
          <w:sz w:val="18"/>
          <w:szCs w:val="18"/>
          <w:rtl/>
        </w:rPr>
        <w:t xml:space="preserve"> [هود: 1]</w:t>
      </w:r>
      <w:r w:rsidRPr="00965715">
        <w:rPr>
          <w:sz w:val="18"/>
          <w:szCs w:val="18"/>
          <w:rtl/>
        </w:rPr>
        <w:t xml:space="preserve"> فوصف جميع القرآن في هذه المواضع بالإحكام، </w:t>
      </w:r>
      <w:r w:rsidRPr="00965715">
        <w:rPr>
          <w:spacing w:val="-4"/>
          <w:sz w:val="18"/>
          <w:szCs w:val="18"/>
          <w:rtl/>
        </w:rPr>
        <w:t xml:space="preserve">وقال تعالى: </w:t>
      </w:r>
      <w:r w:rsidRPr="00965715">
        <w:rPr>
          <w:rFonts w:cs="DecoType Thuluth"/>
          <w:spacing w:val="-4"/>
          <w:sz w:val="18"/>
          <w:szCs w:val="18"/>
          <w:rtl/>
        </w:rPr>
        <w:t>{</w:t>
      </w:r>
      <w:r w:rsidRPr="00965715">
        <w:rPr>
          <w:rFonts w:ascii="QCF_P461" w:hAnsi="QCF_P461" w:cs="QCF_P461"/>
          <w:spacing w:val="-4"/>
          <w:sz w:val="18"/>
          <w:szCs w:val="18"/>
          <w:rtl/>
        </w:rPr>
        <w:t>ﭨ ﭩ ﭪ ﭫ ﭬ ﭭ ﭮ ﭯ ﭰ ﭱ ﭲ ﭳ ﭴ ﭵ ﭶ ﭷ ﭸ ﭹ ﭺ ﭻ</w:t>
      </w:r>
      <w:r w:rsidRPr="00965715">
        <w:rPr>
          <w:rFonts w:ascii="QCF_P461" w:hAnsi="QCF_P461" w:cs="DecoType Thuluth"/>
          <w:spacing w:val="-4"/>
          <w:sz w:val="18"/>
          <w:szCs w:val="18"/>
          <w:rtl/>
        </w:rPr>
        <w:t>}</w:t>
      </w:r>
      <w:r w:rsidRPr="00965715">
        <w:rPr>
          <w:spacing w:val="-4"/>
          <w:sz w:val="18"/>
          <w:szCs w:val="18"/>
          <w:rtl/>
        </w:rPr>
        <w:t xml:space="preserve"> [</w:t>
      </w:r>
      <w:r w:rsidRPr="00965715">
        <w:rPr>
          <w:rFonts w:ascii="Tahoma" w:hAnsi="Tahoma"/>
          <w:spacing w:val="-4"/>
          <w:sz w:val="18"/>
          <w:szCs w:val="18"/>
          <w:rtl/>
        </w:rPr>
        <w:t>الزمر: 23]</w:t>
      </w:r>
      <w:r w:rsidRPr="00965715">
        <w:rPr>
          <w:spacing w:val="-4"/>
          <w:sz w:val="18"/>
          <w:szCs w:val="18"/>
          <w:rtl/>
        </w:rPr>
        <w:t xml:space="preserve"> </w:t>
      </w:r>
      <w:r w:rsidRPr="00965715">
        <w:rPr>
          <w:sz w:val="18"/>
          <w:szCs w:val="18"/>
          <w:rtl/>
        </w:rPr>
        <w:t xml:space="preserve">فوصف جميعه بالمتشابه. ثم قال في موضع آخر: </w:t>
      </w:r>
      <w:r w:rsidRPr="00965715">
        <w:rPr>
          <w:rFonts w:cs="DecoType Thuluth"/>
          <w:sz w:val="18"/>
          <w:szCs w:val="18"/>
          <w:rtl/>
        </w:rPr>
        <w:t>{</w:t>
      </w:r>
      <w:r w:rsidRPr="00965715">
        <w:rPr>
          <w:rFonts w:ascii="QCF_P050" w:hAnsi="QCF_P050" w:cs="QCF_P050"/>
          <w:sz w:val="18"/>
          <w:szCs w:val="18"/>
          <w:rtl/>
        </w:rPr>
        <w:t>ﮗ ﮘ ﮙ ﮚ ﮛ ﮜ ﮝ ﮞ ﮟ ﮠ ﮡ ﮢ ﮣ</w:t>
      </w:r>
      <w:r w:rsidRPr="00965715">
        <w:rPr>
          <w:rFonts w:ascii="QCF_P050" w:hAnsi="QCF_P050" w:cs="DecoType Thuluth"/>
          <w:sz w:val="18"/>
          <w:szCs w:val="18"/>
          <w:rtl/>
        </w:rPr>
        <w:t>}</w:t>
      </w:r>
      <w:r w:rsidRPr="00965715">
        <w:rPr>
          <w:sz w:val="18"/>
          <w:szCs w:val="18"/>
          <w:rtl/>
        </w:rPr>
        <w:t xml:space="preserve"> </w:t>
      </w:r>
      <w:r w:rsidRPr="00965715">
        <w:rPr>
          <w:sz w:val="18"/>
          <w:szCs w:val="18"/>
          <w:rtl/>
        </w:rPr>
        <w:br/>
        <w:t>[</w:t>
      </w:r>
      <w:r w:rsidRPr="00965715">
        <w:rPr>
          <w:rFonts w:ascii="Tahoma" w:hAnsi="Tahoma"/>
          <w:sz w:val="18"/>
          <w:szCs w:val="18"/>
          <w:rtl/>
        </w:rPr>
        <w:t>آل عمران: 7]</w:t>
      </w:r>
      <w:r w:rsidRPr="00965715">
        <w:rPr>
          <w:sz w:val="18"/>
          <w:szCs w:val="18"/>
          <w:rtl/>
        </w:rPr>
        <w:t xml:space="preserve"> فوصف ها هنا بعضه بأنه محكم وبعضه بالمتشابه، والإحكام الذي عمَّ به الجميع هو الصواب والإتقان اللذان يفضل بهما القرآن كل قول، وأما موضع الخصوص في قوله تعالى: </w:t>
      </w:r>
      <w:r w:rsidRPr="00965715">
        <w:rPr>
          <w:rFonts w:cs="DecoType Thuluth"/>
          <w:sz w:val="18"/>
          <w:szCs w:val="18"/>
          <w:rtl/>
        </w:rPr>
        <w:t>{</w:t>
      </w:r>
      <w:r w:rsidRPr="00965715">
        <w:rPr>
          <w:rFonts w:ascii="QCF_P050" w:hAnsi="QCF_P050" w:cs="QCF_P050"/>
          <w:sz w:val="18"/>
          <w:szCs w:val="18"/>
          <w:rtl/>
        </w:rPr>
        <w:t>ﮗ ﮘ ﮙ ﮚ ﮛ ﮜ ﮝ ﮞ ﮟ ﮠ ﮡ</w:t>
      </w:r>
      <w:r w:rsidRPr="00965715">
        <w:rPr>
          <w:rFonts w:ascii="QCF_P050" w:hAnsi="QCF_P050" w:cs="DecoType Thuluth"/>
          <w:sz w:val="18"/>
          <w:szCs w:val="18"/>
          <w:rtl/>
        </w:rPr>
        <w:t>}</w:t>
      </w:r>
      <w:r w:rsidRPr="00965715">
        <w:rPr>
          <w:sz w:val="18"/>
          <w:szCs w:val="18"/>
          <w:rtl/>
        </w:rPr>
        <w:t>، فإن المراد به اللفظ الذي لا اشتراكَ فيه ولا يحتمل سامعه إلا معنًى واحدًا.</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ويحاول أبو بكر الجصاص في كلامه السابق، أن يبلور آراءَ الناس في المحكم والمتشابه؛ لأنهم اختلفوا اختلافًا عظيمًا في قضية العلم بتأويل المتشابه بهذا الإطلاق الأخير، هل هو مقصور على الله تعالى، أو هو بحيث يتأتى للراسخين في العلم أيضًا؟</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ومن أبرز المتشابه بهذا الإطلاق في القرآن، ما يُعرف لدى علماء الخلف والمتكلمين بآيات الصفات الخبرية، أو متشابه الصفات، كالآيات التي جاء فيها ذكر صفات الذات والأفعال، مثل الوجه واليد والجنب والفوقية، والاستواء والمجيء والرضا والغضب، وغير ذلك من الصفات الإلهية.</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 xml:space="preserve">ويهمنا أن نبين مقدمةً هامةً مبنيةً على ما سبق من الآراء في المحكم والمتشابه، فجميع الآراء في معنى المحكم والمتشابه، تكاد تتمثل في أن المحكم هو المعلوم الواضح الذي يمكن تحديده وتمييزه، كتمييز الصورة في المِرآة المصقولة عند تحديد معالمها، وضبط ملامحها، والتمكن من وصفها، فما لا يحتمل إلا وجهًا واحدًا يصبح معلومًا مميزًا، كما أن المتشابه عكس المحكم، وهو المجهول الذي لا يُعلم، إما من التشابه والتماثل كقوله تعالى: </w:t>
      </w:r>
      <w:r w:rsidRPr="00965715">
        <w:rPr>
          <w:rFonts w:cs="DecoType Thuluth"/>
          <w:sz w:val="18"/>
          <w:szCs w:val="18"/>
          <w:rtl/>
        </w:rPr>
        <w:t>{</w:t>
      </w:r>
      <w:r w:rsidRPr="00965715">
        <w:rPr>
          <w:rFonts w:ascii="QCF_P018" w:hAnsi="QCF_P018" w:cs="QCF_P018"/>
          <w:sz w:val="18"/>
          <w:szCs w:val="18"/>
          <w:rtl/>
        </w:rPr>
        <w:t>ﯮ ﯯ ﯰ ﯱ ﯲ ﯳ ﯴ ﯵ ﯶ ﯷ</w:t>
      </w:r>
      <w:r w:rsidRPr="00965715">
        <w:rPr>
          <w:rFonts w:cs="DecoType Thuluth"/>
          <w:sz w:val="18"/>
          <w:szCs w:val="18"/>
          <w:rtl/>
        </w:rPr>
        <w:t>}</w:t>
      </w:r>
      <w:r w:rsidRPr="00965715">
        <w:rPr>
          <w:sz w:val="18"/>
          <w:szCs w:val="18"/>
          <w:rtl/>
        </w:rPr>
        <w:t xml:space="preserve"> [</w:t>
      </w:r>
      <w:r w:rsidRPr="00965715">
        <w:rPr>
          <w:rFonts w:ascii="Tahoma" w:hAnsi="Tahoma"/>
          <w:sz w:val="18"/>
          <w:szCs w:val="18"/>
          <w:rtl/>
        </w:rPr>
        <w:t>البقرة: 118]</w:t>
      </w:r>
      <w:r w:rsidRPr="00965715">
        <w:rPr>
          <w:sz w:val="18"/>
          <w:szCs w:val="18"/>
          <w:rtl/>
        </w:rPr>
        <w:t xml:space="preserve"> أي: أشبهت قلوبُ مشركي العرب قلوبَ من تقدمهم في الكفر والعناد والعتو، وإما من الاختلاط وعدم التمييز بين الأشياء، كقول الله تعالى عن بني إسرائيل: </w:t>
      </w:r>
      <w:r w:rsidRPr="00965715">
        <w:rPr>
          <w:rFonts w:cs="DecoType Thuluth"/>
          <w:sz w:val="18"/>
          <w:szCs w:val="18"/>
          <w:rtl/>
        </w:rPr>
        <w:t>{</w:t>
      </w:r>
      <w:r w:rsidRPr="00965715">
        <w:rPr>
          <w:rFonts w:ascii="QCF_P011" w:hAnsi="QCF_P011" w:cs="QCF_P011"/>
          <w:sz w:val="18"/>
          <w:szCs w:val="18"/>
          <w:rtl/>
        </w:rPr>
        <w:t>ﭙ ﭚ ﭛ ﭜ</w:t>
      </w:r>
      <w:r w:rsidRPr="00965715">
        <w:rPr>
          <w:rFonts w:ascii="QCF_P011" w:hAnsi="QCF_P011" w:cs="DecoType Thuluth"/>
          <w:sz w:val="18"/>
          <w:szCs w:val="18"/>
          <w:rtl/>
        </w:rPr>
        <w:t>}</w:t>
      </w:r>
      <w:r w:rsidRPr="00965715">
        <w:rPr>
          <w:sz w:val="18"/>
          <w:szCs w:val="18"/>
          <w:rtl/>
        </w:rPr>
        <w:t xml:space="preserve"> [</w:t>
      </w:r>
      <w:r w:rsidRPr="00965715">
        <w:rPr>
          <w:rFonts w:ascii="Tahoma" w:hAnsi="Tahoma"/>
          <w:sz w:val="18"/>
          <w:szCs w:val="18"/>
          <w:rtl/>
        </w:rPr>
        <w:t>البقرة: 70]</w:t>
      </w:r>
      <w:r w:rsidRPr="00965715">
        <w:rPr>
          <w:sz w:val="18"/>
          <w:szCs w:val="18"/>
          <w:rtl/>
        </w:rPr>
        <w:t>.</w:t>
      </w:r>
    </w:p>
    <w:p w:rsidR="00F43956" w:rsidRPr="00965715" w:rsidRDefault="00F43956" w:rsidP="00965715">
      <w:pPr>
        <w:pStyle w:val="NormalWeb"/>
        <w:bidi/>
        <w:spacing w:before="0" w:beforeAutospacing="0" w:after="0" w:afterAutospacing="0"/>
        <w:jc w:val="both"/>
        <w:rPr>
          <w:sz w:val="18"/>
          <w:szCs w:val="18"/>
        </w:rPr>
      </w:pPr>
      <w:r w:rsidRPr="00965715">
        <w:rPr>
          <w:sz w:val="18"/>
          <w:szCs w:val="18"/>
          <w:rtl/>
        </w:rPr>
        <w:t xml:space="preserve">وعلى هذا المعنى السابق للمحكم والمتشابه، سوف ننظر إلى الآية السابعة من آل عمران </w:t>
      </w:r>
      <w:r w:rsidRPr="00965715">
        <w:rPr>
          <w:rFonts w:cs="Traditional Arabic"/>
          <w:sz w:val="18"/>
          <w:szCs w:val="18"/>
          <w:rtl/>
        </w:rPr>
        <w:t>-</w:t>
      </w:r>
      <w:r w:rsidRPr="00965715">
        <w:rPr>
          <w:sz w:val="18"/>
          <w:szCs w:val="18"/>
          <w:rtl/>
        </w:rPr>
        <w:t>والتي هي محل بحثنا في قضية المحكم والمتشابه</w:t>
      </w:r>
      <w:r w:rsidRPr="00965715">
        <w:rPr>
          <w:rFonts w:cs="Traditional Arabic"/>
          <w:sz w:val="18"/>
          <w:szCs w:val="18"/>
          <w:rtl/>
        </w:rPr>
        <w:t>-</w:t>
      </w:r>
      <w:r w:rsidRPr="00965715">
        <w:rPr>
          <w:sz w:val="18"/>
          <w:szCs w:val="18"/>
          <w:rtl/>
        </w:rPr>
        <w:t xml:space="preserve"> وأثرها على القول بالتفويض، يقول تعالى: </w:t>
      </w:r>
      <w:r w:rsidRPr="00965715">
        <w:rPr>
          <w:rFonts w:cs="DecoType Thuluth"/>
          <w:sz w:val="18"/>
          <w:szCs w:val="18"/>
          <w:rtl/>
        </w:rPr>
        <w:t>{</w:t>
      </w:r>
      <w:r w:rsidRPr="00965715">
        <w:rPr>
          <w:rFonts w:ascii="QCF_P050" w:hAnsi="QCF_P050" w:cs="QCF_P050"/>
          <w:sz w:val="18"/>
          <w:szCs w:val="18"/>
          <w:rtl/>
        </w:rPr>
        <w:t>ﮗ ﮘ ﮙ ﮚ ﮛ ﮜ ﮝ ﮞ ﮟ ﮠ ﮡ ﮢ ﮣ ﮤ ﮥ ﮦ ﮧ ﮨ ﮩ ﮪ ﮫ ﮬ ﮭ ﮮ ﮯ ﮰ ﮱ ﯓ ﯔ ﯕ ﯖ ﯗ ﯘ ﯙ ﯚ ﯛ ﯜ ﯝ ﯞ ﯟ ﯠ ﯡ ﯢ ﯣ ﯤ ﯥ ﯦ ﯧ ﯨ ﯩ</w:t>
      </w:r>
      <w:r w:rsidRPr="00965715">
        <w:rPr>
          <w:rFonts w:cs="DecoType Thuluth"/>
          <w:sz w:val="18"/>
          <w:szCs w:val="18"/>
          <w:rtl/>
        </w:rPr>
        <w:t>}</w:t>
      </w:r>
      <w:r w:rsidRPr="00965715">
        <w:rPr>
          <w:sz w:val="18"/>
          <w:szCs w:val="18"/>
          <w:rtl/>
        </w:rPr>
        <w:t xml:space="preserve"> [</w:t>
      </w:r>
      <w:r w:rsidRPr="00965715">
        <w:rPr>
          <w:rFonts w:ascii="Tahoma" w:hAnsi="Tahoma"/>
          <w:sz w:val="18"/>
          <w:szCs w:val="18"/>
          <w:rtl/>
        </w:rPr>
        <w:t>آل عمران: 7]</w:t>
      </w:r>
      <w:r w:rsidRPr="00965715">
        <w:rPr>
          <w:sz w:val="18"/>
          <w:szCs w:val="18"/>
          <w:rtl/>
        </w:rPr>
        <w:t>.</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 xml:space="preserve">كثير من علماء الخلف والأشعرية يعتبرون معانيَ نصوص الصفات الإلهية من المتشابه الذي لا يعلمه إلا الله مستدلين بهذه الآية، وفي هذا نظر، حيث يترتب علي ذلك من </w:t>
      </w:r>
      <w:r w:rsidRPr="00965715">
        <w:rPr>
          <w:sz w:val="18"/>
          <w:szCs w:val="18"/>
          <w:rtl/>
        </w:rPr>
        <w:lastRenderedPageBreak/>
        <w:t xml:space="preserve">اللوازم الباطلة ما لا يرضاه المسلم على كلام الله، يقول أبو محمد بن قدامة المقدسي: وكل ما جاء في القرآن أو صح عن المصطفي </w:t>
      </w:r>
      <w:r w:rsidRPr="00965715">
        <w:rPr>
          <w:rFonts w:cs="Traditional Arabic"/>
          <w:sz w:val="18"/>
          <w:szCs w:val="18"/>
          <w:rtl/>
        </w:rPr>
        <w:t>-</w:t>
      </w:r>
      <w:r w:rsidRPr="00965715">
        <w:rPr>
          <w:sz w:val="18"/>
          <w:szCs w:val="18"/>
          <w:rtl/>
        </w:rPr>
        <w:t>عليه الصلاة السلام</w:t>
      </w:r>
      <w:r w:rsidRPr="00965715">
        <w:rPr>
          <w:rFonts w:cs="Traditional Arabic"/>
          <w:sz w:val="18"/>
          <w:szCs w:val="18"/>
          <w:rtl/>
        </w:rPr>
        <w:t>-</w:t>
      </w:r>
      <w:r w:rsidRPr="00965715">
        <w:rPr>
          <w:sz w:val="18"/>
          <w:szCs w:val="18"/>
          <w:rtl/>
        </w:rPr>
        <w:t xml:space="preserve"> من صفات الرحمن؛ وجب الإيمان به وتلقيه بالتسليم والقَبول، وترك التعرض له بالرد والتأويل والتشبيه والتمثيل، وترك التعرض لمعناه ونرد علمه إلى قائله، ونجعل عهدته على ناقله؛ اتباعًا لطريق الراسخين في العلم. </w:t>
      </w:r>
    </w:p>
    <w:p w:rsidR="00F43956" w:rsidRPr="00965715" w:rsidRDefault="00F43956" w:rsidP="00965715">
      <w:pPr>
        <w:pStyle w:val="NormalWeb"/>
        <w:bidi/>
        <w:spacing w:before="0" w:beforeAutospacing="0" w:after="0" w:afterAutospacing="0"/>
        <w:jc w:val="both"/>
        <w:rPr>
          <w:sz w:val="18"/>
          <w:szCs w:val="18"/>
        </w:rPr>
      </w:pPr>
      <w:r w:rsidRPr="00965715">
        <w:rPr>
          <w:sz w:val="18"/>
          <w:szCs w:val="18"/>
          <w:rtl/>
        </w:rPr>
        <w:t xml:space="preserve">ويقول الشيخ أحمد الرفاعي معبرًا عن فهمه في قضية المحكم والمتشابه: فعامِلوا الله بحسن النيات، واتقوه في الحركات والسكنات، وصونوا عقائدكم من التمسك بظاهر ما تشابه من الكتاب والسنة؛ لأن ذلك من أصول الكفر، قال تعالى: </w:t>
      </w:r>
      <w:r w:rsidRPr="00965715">
        <w:rPr>
          <w:rFonts w:cs="DecoType Thuluth"/>
          <w:sz w:val="18"/>
          <w:szCs w:val="18"/>
          <w:rtl/>
        </w:rPr>
        <w:t>{</w:t>
      </w:r>
      <w:r w:rsidRPr="00965715">
        <w:rPr>
          <w:rFonts w:ascii="QCF_P050" w:hAnsi="QCF_P050" w:cs="QCF_P050"/>
          <w:sz w:val="18"/>
          <w:szCs w:val="18"/>
          <w:rtl/>
        </w:rPr>
        <w:t>ﮣ ﮤ ﮥ ﮦ ﮧ ﮨ ﮩ ﮪ ﮫ ﮬ ﮭ ﮮ ﮯ ﮰ ﮱ</w:t>
      </w:r>
      <w:r w:rsidRPr="00965715">
        <w:rPr>
          <w:rFonts w:cs="DecoType Thuluth"/>
          <w:sz w:val="18"/>
          <w:szCs w:val="18"/>
          <w:rtl/>
        </w:rPr>
        <w:t>}</w:t>
      </w:r>
      <w:r w:rsidRPr="00965715">
        <w:rPr>
          <w:sz w:val="18"/>
          <w:szCs w:val="18"/>
          <w:rtl/>
        </w:rPr>
        <w:t xml:space="preserve">، والواجب عليكم وعلى كل مكلف في المتشابه الإيمان بأنه من عند الله، أنزله على عبده سيدنا رسول الله، وما كلفنا </w:t>
      </w:r>
      <w:r w:rsidRPr="00965715">
        <w:rPr>
          <w:rFonts w:ascii="AGA Arabesque" w:hAnsi="AGA Arabesque"/>
          <w:position w:val="-4"/>
          <w:sz w:val="18"/>
          <w:szCs w:val="18"/>
        </w:rPr>
        <w:t></w:t>
      </w:r>
      <w:r w:rsidRPr="00965715">
        <w:rPr>
          <w:sz w:val="18"/>
          <w:szCs w:val="18"/>
          <w:rtl/>
        </w:rPr>
        <w:t xml:space="preserve"> تفصيل علم تأويله، قال </w:t>
      </w:r>
      <w:r w:rsidRPr="00965715">
        <w:rPr>
          <w:rFonts w:cs="Traditional Arabic"/>
          <w:sz w:val="18"/>
          <w:szCs w:val="18"/>
          <w:rtl/>
        </w:rPr>
        <w:t>-</w:t>
      </w:r>
      <w:r w:rsidRPr="00965715">
        <w:rPr>
          <w:sz w:val="18"/>
          <w:szCs w:val="18"/>
          <w:rtl/>
        </w:rPr>
        <w:t>جلت عظمته</w:t>
      </w:r>
      <w:r w:rsidRPr="00965715">
        <w:rPr>
          <w:rFonts w:cs="Traditional Arabic"/>
          <w:sz w:val="18"/>
          <w:szCs w:val="18"/>
          <w:rtl/>
        </w:rPr>
        <w:t>-</w:t>
      </w:r>
      <w:r w:rsidRPr="00965715">
        <w:rPr>
          <w:sz w:val="18"/>
          <w:szCs w:val="18"/>
          <w:rtl/>
        </w:rPr>
        <w:t xml:space="preserve">: </w:t>
      </w:r>
      <w:r w:rsidRPr="00965715">
        <w:rPr>
          <w:rFonts w:cs="DecoType Thuluth"/>
          <w:sz w:val="18"/>
          <w:szCs w:val="18"/>
          <w:rtl/>
        </w:rPr>
        <w:t>{</w:t>
      </w:r>
      <w:r w:rsidRPr="00965715">
        <w:rPr>
          <w:rFonts w:ascii="QCF_P050" w:hAnsi="QCF_P050" w:cs="QCF_P050"/>
          <w:sz w:val="18"/>
          <w:szCs w:val="18"/>
          <w:rtl/>
        </w:rPr>
        <w:t>ﯔ ﯕ ﯖ ﯗ ﯘ ﯙ ﯚ ﯛ ﯜ ﯝ ﯞ ﯟ ﯠ ﯡ ﯢ ﯣ</w:t>
      </w:r>
      <w:r w:rsidRPr="00965715">
        <w:rPr>
          <w:rFonts w:ascii="QCF_P050" w:hAnsi="QCF_P050" w:cs="DecoType Thuluth"/>
          <w:sz w:val="18"/>
          <w:szCs w:val="18"/>
          <w:rtl/>
        </w:rPr>
        <w:t>}</w:t>
      </w:r>
      <w:r w:rsidRPr="00965715">
        <w:rPr>
          <w:sz w:val="18"/>
          <w:szCs w:val="18"/>
          <w:rtl/>
        </w:rPr>
        <w:t xml:space="preserve">، فسبيل المتقين من السلف تنزيهُ الله تعالى عما دلَّ عليه ظاهره، وتفويض معناه المراد منه إلى الحق </w:t>
      </w:r>
      <w:r w:rsidRPr="00965715">
        <w:rPr>
          <w:rFonts w:cs="Traditional Arabic"/>
          <w:sz w:val="18"/>
          <w:szCs w:val="18"/>
          <w:rtl/>
        </w:rPr>
        <w:t>-</w:t>
      </w:r>
      <w:r w:rsidRPr="00965715">
        <w:rPr>
          <w:sz w:val="18"/>
          <w:szCs w:val="18"/>
          <w:rtl/>
        </w:rPr>
        <w:t>تبارك تعالى</w:t>
      </w:r>
      <w:r w:rsidRPr="00965715">
        <w:rPr>
          <w:rFonts w:cs="Traditional Arabic"/>
          <w:sz w:val="18"/>
          <w:szCs w:val="18"/>
          <w:rtl/>
        </w:rPr>
        <w:t>-</w:t>
      </w:r>
      <w:r w:rsidRPr="00965715">
        <w:rPr>
          <w:sz w:val="18"/>
          <w:szCs w:val="18"/>
          <w:rtl/>
        </w:rPr>
        <w:t xml:space="preserve"> وبهذا سلامةُ الدين.</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فهؤلاء يدعون إلى ترك التأويل والبعد عن طريقة الخلف لعدم قناعتهم بها، لكن الطرح الذي يقدمونه لأتباعهم يزعمون فيه أن طريقة السلف هي الكف عن معاني نصوص الصفات، ومنع البحث عن مدلول الآيات، ثم يجعلون ذلك سبيل المتقين؛ ظنًّا منهم أن الظواهر تدل على التشبيه والمعاني الكفرية، فلا هم فهموا طريقة السلف ولا صوبوا طريقةَ الخلف.</w:t>
      </w:r>
    </w:p>
    <w:p w:rsidR="00F43956" w:rsidRPr="00965715" w:rsidRDefault="00F43956" w:rsidP="00965715">
      <w:pPr>
        <w:pStyle w:val="NormalWeb"/>
        <w:bidi/>
        <w:spacing w:before="0" w:beforeAutospacing="0" w:after="0" w:afterAutospacing="0"/>
        <w:jc w:val="both"/>
        <w:rPr>
          <w:sz w:val="18"/>
          <w:szCs w:val="18"/>
        </w:rPr>
      </w:pPr>
      <w:r w:rsidRPr="00965715">
        <w:rPr>
          <w:sz w:val="18"/>
          <w:szCs w:val="18"/>
          <w:rtl/>
        </w:rPr>
        <w:t xml:space="preserve">وهؤلاء إنما أوتوا من حيث ظنوا أن طريقة السلف هي مجرد الإيمان بألفاظ القرآن والحديث من غير فقه لذلك؛ بمنزلة الأميين الذين قال الله فيهم: </w:t>
      </w:r>
      <w:r w:rsidRPr="00965715">
        <w:rPr>
          <w:rFonts w:cs="DecoType Thuluth"/>
          <w:sz w:val="18"/>
          <w:szCs w:val="18"/>
          <w:rtl/>
        </w:rPr>
        <w:t>{</w:t>
      </w:r>
      <w:r w:rsidRPr="00965715">
        <w:rPr>
          <w:rFonts w:ascii="QCF_P012" w:hAnsi="QCF_P012" w:cs="QCF_P012"/>
          <w:sz w:val="18"/>
          <w:szCs w:val="18"/>
          <w:rtl/>
        </w:rPr>
        <w:t>ﭛ ﭜ ﭝ ﭞ ﭟ ﭠ ﭡ ﭢ ﭣ ﭤ ﭥ</w:t>
      </w:r>
      <w:r w:rsidRPr="00965715">
        <w:rPr>
          <w:rFonts w:ascii="QCF_P012" w:hAnsi="QCF_P012" w:cs="DecoType Thuluth"/>
          <w:sz w:val="18"/>
          <w:szCs w:val="18"/>
          <w:rtl/>
        </w:rPr>
        <w:t>}</w:t>
      </w:r>
      <w:r w:rsidRPr="00965715">
        <w:rPr>
          <w:sz w:val="18"/>
          <w:szCs w:val="18"/>
          <w:rtl/>
        </w:rPr>
        <w:t xml:space="preserve"> [</w:t>
      </w:r>
      <w:r w:rsidRPr="00965715">
        <w:rPr>
          <w:rFonts w:ascii="Tahoma" w:hAnsi="Tahoma"/>
          <w:sz w:val="18"/>
          <w:szCs w:val="18"/>
          <w:rtl/>
        </w:rPr>
        <w:t>البقرة: 78]</w:t>
      </w:r>
      <w:r w:rsidRPr="00965715">
        <w:rPr>
          <w:sz w:val="18"/>
          <w:szCs w:val="18"/>
          <w:rtl/>
        </w:rPr>
        <w:t xml:space="preserve"> وأن طريقة الخلف هي استخراج معاني النصوص المصروفة عن حقائقها بأنواع المجازات وغرائب اللغات، فهذا الظن الفاسد أوجب قولهم: طريقة السلف أسلم وطريقة الخلف أعلم وأحكم!! تلك المقالة التي مضمونها نَبْذ الإسلام وراءَ الظهر، وقد تقولوا على طريقة السلف، ولم يقتنعوا في قرارة أنفسهم بطريقة الخلف.</w:t>
      </w:r>
    </w:p>
    <w:p w:rsidR="00F43956" w:rsidRPr="00965715" w:rsidRDefault="00F43956" w:rsidP="00965715">
      <w:pPr>
        <w:pStyle w:val="NormalWeb"/>
        <w:bidi/>
        <w:spacing w:before="0" w:beforeAutospacing="0" w:after="0" w:afterAutospacing="0"/>
        <w:jc w:val="lowKashida"/>
        <w:rPr>
          <w:sz w:val="18"/>
          <w:szCs w:val="18"/>
        </w:rPr>
      </w:pPr>
      <w:r w:rsidRPr="00965715">
        <w:rPr>
          <w:sz w:val="18"/>
          <w:szCs w:val="18"/>
          <w:rtl/>
        </w:rPr>
        <w:t xml:space="preserve">يقول شارح (الطحاوية) في وصف حالهم في باب الصفات: "يقرون بما يوافق رأيهم من الآيات وما يخالفه، إما أن يتأوله تأويلًا يحرِّفون فيه الكلمَ عن مواضعه، وإما أن يقولوا: هذا متشابه، لا يعلم أحد معناه، فيجحدوا ما أنزله الله من معانيه، وهو في معنى الكفر بذلك؛ لأن الإيمان باللفظ بلا معنى هو من جنس إيمان أهل الكتاب، كما قال تعالى: </w:t>
      </w:r>
      <w:r w:rsidRPr="00965715">
        <w:rPr>
          <w:rFonts w:cs="DecoType Thuluth"/>
          <w:sz w:val="18"/>
          <w:szCs w:val="18"/>
          <w:rtl/>
        </w:rPr>
        <w:t>{</w:t>
      </w:r>
      <w:r w:rsidRPr="00965715">
        <w:rPr>
          <w:rFonts w:ascii="QCF_P553" w:hAnsi="QCF_P553" w:cs="QCF_P553"/>
          <w:sz w:val="18"/>
          <w:szCs w:val="18"/>
          <w:rtl/>
        </w:rPr>
        <w:t>ﮊ ﮋ ﮌ ﮍ ﮎ ﮏ ﮐ ﮑ ﮒ ﮓ ﮔ</w:t>
      </w:r>
      <w:r w:rsidRPr="00965715">
        <w:rPr>
          <w:rFonts w:ascii="QCF_P553" w:hAnsi="QCF_P553" w:cs="DecoType Thuluth"/>
          <w:sz w:val="18"/>
          <w:szCs w:val="18"/>
          <w:rtl/>
        </w:rPr>
        <w:t>}</w:t>
      </w:r>
      <w:r w:rsidRPr="00965715">
        <w:rPr>
          <w:sz w:val="18"/>
          <w:szCs w:val="18"/>
          <w:rtl/>
        </w:rPr>
        <w:t xml:space="preserve"> [</w:t>
      </w:r>
      <w:r w:rsidRPr="00965715">
        <w:rPr>
          <w:rFonts w:ascii="Tahoma" w:hAnsi="Tahoma"/>
          <w:sz w:val="18"/>
          <w:szCs w:val="18"/>
          <w:rtl/>
        </w:rPr>
        <w:t>الجمعة: 5]،</w:t>
      </w:r>
      <w:r w:rsidRPr="00965715">
        <w:rPr>
          <w:sz w:val="18"/>
          <w:szCs w:val="18"/>
          <w:rtl/>
        </w:rPr>
        <w:t xml:space="preserve"> وقال تعالى: </w:t>
      </w:r>
      <w:r w:rsidRPr="00965715">
        <w:rPr>
          <w:rFonts w:cs="DecoType Thuluth"/>
          <w:sz w:val="18"/>
          <w:szCs w:val="18"/>
          <w:rtl/>
        </w:rPr>
        <w:t>{</w:t>
      </w:r>
      <w:r w:rsidRPr="00965715">
        <w:rPr>
          <w:rFonts w:ascii="QCF_P012" w:hAnsi="QCF_P012" w:cs="QCF_P012"/>
          <w:sz w:val="18"/>
          <w:szCs w:val="18"/>
          <w:rtl/>
        </w:rPr>
        <w:t>ﭛ ﭜ ﭝ ﭞ ﭟ ﭠ ﭡ ﭢ ﭣ ﭤ ﭥ</w:t>
      </w:r>
      <w:r w:rsidRPr="00965715">
        <w:rPr>
          <w:rFonts w:ascii="QCF_P012" w:hAnsi="QCF_P012" w:cs="DecoType Thuluth"/>
          <w:sz w:val="18"/>
          <w:szCs w:val="18"/>
          <w:rtl/>
        </w:rPr>
        <w:t>}</w:t>
      </w:r>
      <w:r w:rsidRPr="00965715">
        <w:rPr>
          <w:sz w:val="18"/>
          <w:szCs w:val="18"/>
          <w:rtl/>
        </w:rPr>
        <w:t xml:space="preserve"> أي: إلا تلاوة من غير فهم معناه، وليس هذا كالمؤمن الذي فهم ما فهم من القرآن، فعمل به واشتبه عليه بعضه، فوكل علمه إلى الله كما أمره النبي </w:t>
      </w:r>
      <w:r w:rsidRPr="00965715">
        <w:rPr>
          <w:rFonts w:ascii="AGA Arabesque" w:hAnsi="AGA Arabesque"/>
          <w:position w:val="-4"/>
          <w:sz w:val="18"/>
          <w:szCs w:val="18"/>
        </w:rPr>
        <w:t></w:t>
      </w:r>
      <w:r w:rsidRPr="00965715">
        <w:rPr>
          <w:sz w:val="18"/>
          <w:szCs w:val="18"/>
          <w:rtl/>
        </w:rPr>
        <w:t xml:space="preserve"> بقوله: ((فما عرفتم منه فاعملوا به، وما جهلتم منه فردوه إلى عالمه)) فامتثل ما أمر به.</w:t>
      </w:r>
    </w:p>
    <w:p w:rsidR="00F43956" w:rsidRDefault="00F43956" w:rsidP="00965715">
      <w:pPr>
        <w:pStyle w:val="NormalWeb"/>
        <w:bidi/>
        <w:spacing w:before="0" w:beforeAutospacing="0" w:after="0" w:afterAutospacing="0"/>
        <w:jc w:val="lowKashida"/>
        <w:rPr>
          <w:sz w:val="18"/>
          <w:szCs w:val="18"/>
          <w:rtl/>
        </w:rPr>
      </w:pPr>
      <w:r w:rsidRPr="00965715">
        <w:rPr>
          <w:sz w:val="18"/>
          <w:szCs w:val="18"/>
          <w:rtl/>
        </w:rPr>
        <w:t xml:space="preserve">وسبب ذلك كما ذكره شيخ الإسلام ابن تيمية، اعتقادهم أنه ليس في نفس الأمر صفة دلت عليها هذه النصوص بالشبهات الفاسدة، فلما اعتقدوا انتفاء الصفات في نفس الأمر، وكان مع ذلك لا بد للنصوص من معنى، بقوا مترددين بين الإيمان باللفظ وتفويض المعنى </w:t>
      </w:r>
      <w:r w:rsidRPr="00965715">
        <w:rPr>
          <w:rFonts w:cs="Traditional Arabic"/>
          <w:sz w:val="18"/>
          <w:szCs w:val="18"/>
          <w:rtl/>
        </w:rPr>
        <w:t>-</w:t>
      </w:r>
      <w:r w:rsidRPr="00965715">
        <w:rPr>
          <w:sz w:val="18"/>
          <w:szCs w:val="18"/>
          <w:rtl/>
        </w:rPr>
        <w:t>وهي التي يسمونها طريقة السلف</w:t>
      </w:r>
      <w:r w:rsidRPr="00965715">
        <w:rPr>
          <w:rFonts w:cs="Traditional Arabic"/>
          <w:sz w:val="18"/>
          <w:szCs w:val="18"/>
          <w:rtl/>
        </w:rPr>
        <w:t>-</w:t>
      </w:r>
      <w:r w:rsidRPr="00965715">
        <w:rPr>
          <w:sz w:val="18"/>
          <w:szCs w:val="18"/>
          <w:rtl/>
        </w:rPr>
        <w:t xml:space="preserve"> وبين صرف اللفظ إلى معانٍ بنوع تكلف </w:t>
      </w:r>
      <w:r w:rsidRPr="00965715">
        <w:rPr>
          <w:rFonts w:cs="Traditional Arabic"/>
          <w:sz w:val="18"/>
          <w:szCs w:val="18"/>
          <w:rtl/>
        </w:rPr>
        <w:t>-</w:t>
      </w:r>
      <w:r w:rsidRPr="00965715">
        <w:rPr>
          <w:sz w:val="18"/>
          <w:szCs w:val="18"/>
          <w:rtl/>
        </w:rPr>
        <w:t>وهي التي يسمونها طريقة الخلف</w:t>
      </w:r>
      <w:r w:rsidRPr="00965715">
        <w:rPr>
          <w:rFonts w:cs="Traditional Arabic"/>
          <w:sz w:val="18"/>
          <w:szCs w:val="18"/>
          <w:rtl/>
        </w:rPr>
        <w:t>-</w:t>
      </w:r>
      <w:r w:rsidRPr="00965715">
        <w:rPr>
          <w:sz w:val="18"/>
          <w:szCs w:val="18"/>
          <w:rtl/>
        </w:rPr>
        <w:t xml:space="preserve"> فصار هذا الباطل مركبًا من فساد العقل وتعطيل السمع، فإن النفي إنما اعتمدوا فيه على أمور عقلية ظنوها بينات وهي شبهات، والسمع حرفوا فيه الكلم عن مواضعه، فلما ابتنى أمرهم على هاتين المقدمتين الكاذبتين كانت النتيجة استجهال السابقين الأولين واستبلاههم، واعتقاد أنهم كانوا قومًا أميين، بمنزلة الصالحين من العامة، لم يتبحروا في حقائق العلم بالله، ولم يتفطنوا لدقائق العلم الإلهي، وأن الخلف الفضلاء حازوا قصب السبق في هذا كله.</w:t>
      </w:r>
    </w:p>
    <w:p w:rsidR="00F43956" w:rsidRPr="00965715" w:rsidRDefault="00F43956" w:rsidP="00F84DE5">
      <w:pPr>
        <w:pStyle w:val="NormalWeb"/>
        <w:bidi/>
        <w:spacing w:before="0" w:beforeAutospacing="0" w:after="0" w:afterAutospacing="0"/>
        <w:jc w:val="lowKashida"/>
        <w:rPr>
          <w:sz w:val="18"/>
          <w:szCs w:val="18"/>
        </w:rPr>
      </w:pPr>
    </w:p>
    <w:p w:rsidR="00F43956" w:rsidRDefault="00F43956" w:rsidP="00965715">
      <w:pPr>
        <w:jc w:val="center"/>
        <w:rPr>
          <w:b/>
          <w:bCs/>
          <w:sz w:val="18"/>
          <w:szCs w:val="18"/>
          <w:rtl/>
        </w:rPr>
      </w:pPr>
      <w:r>
        <w:rPr>
          <w:b/>
          <w:bCs/>
          <w:sz w:val="18"/>
          <w:szCs w:val="18"/>
          <w:rtl/>
        </w:rPr>
        <w:t>المراجع والمصادر</w:t>
      </w:r>
    </w:p>
    <w:p w:rsidR="00F43956" w:rsidRDefault="00F43956" w:rsidP="00965715">
      <w:pPr>
        <w:jc w:val="center"/>
        <w:rPr>
          <w:b/>
          <w:bCs/>
          <w:sz w:val="18"/>
          <w:szCs w:val="18"/>
          <w:rtl/>
        </w:rPr>
      </w:pPr>
    </w:p>
    <w:p w:rsidR="00F43956" w:rsidRPr="00785C26" w:rsidRDefault="00F43956" w:rsidP="00965715">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F43956" w:rsidRPr="00785C26" w:rsidRDefault="00F43956" w:rsidP="00965715">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lastRenderedPageBreak/>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F43956" w:rsidRPr="00785C26" w:rsidRDefault="00F43956" w:rsidP="00965715">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lastRenderedPageBreak/>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F43956" w:rsidRPr="00785C26" w:rsidRDefault="00F43956" w:rsidP="00965715">
      <w:pPr>
        <w:numPr>
          <w:ilvl w:val="0"/>
          <w:numId w:val="1"/>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F43956" w:rsidRDefault="00F43956">
      <w:pPr>
        <w:rPr>
          <w:rtl/>
        </w:rPr>
        <w:sectPr w:rsidR="00F43956" w:rsidSect="00965715">
          <w:type w:val="continuous"/>
          <w:pgSz w:w="11906" w:h="16838"/>
          <w:pgMar w:top="731" w:right="737" w:bottom="731" w:left="737" w:header="709" w:footer="709" w:gutter="0"/>
          <w:cols w:num="2" w:space="708"/>
          <w:bidi/>
          <w:rtlGutter/>
          <w:docGrid w:linePitch="360"/>
        </w:sectPr>
      </w:pPr>
    </w:p>
    <w:p w:rsidR="00F43956" w:rsidRPr="00965715" w:rsidRDefault="00F43956"/>
    <w:sectPr w:rsidR="00F43956" w:rsidRPr="00965715" w:rsidSect="00965715">
      <w:type w:val="continuous"/>
      <w:pgSz w:w="11906" w:h="16838"/>
      <w:pgMar w:top="731" w:right="737" w:bottom="731"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221">
    <w:altName w:val="Times New Roman"/>
    <w:charset w:val="00"/>
    <w:family w:val="auto"/>
    <w:pitch w:val="variable"/>
    <w:sig w:usb0="00000000" w:usb1="90000000" w:usb2="00000008" w:usb3="00000000" w:csb0="80000041" w:csb1="00000000"/>
  </w:font>
  <w:font w:name="QCF_P461">
    <w:altName w:val="Times New Roman"/>
    <w:charset w:val="00"/>
    <w:family w:val="auto"/>
    <w:pitch w:val="variable"/>
    <w:sig w:usb0="00000000" w:usb1="90000000" w:usb2="00000008" w:usb3="00000000" w:csb0="80000041" w:csb1="00000000"/>
  </w:font>
  <w:font w:name="QCF_P050">
    <w:altName w:val="Times New Roman"/>
    <w:charset w:val="00"/>
    <w:family w:val="auto"/>
    <w:pitch w:val="variable"/>
    <w:sig w:usb0="00000000" w:usb1="90000000" w:usb2="00000008" w:usb3="00000000" w:csb0="80000041" w:csb1="00000000"/>
  </w:font>
  <w:font w:name="QCF_P018">
    <w:altName w:val="Times New Roman"/>
    <w:charset w:val="00"/>
    <w:family w:val="auto"/>
    <w:pitch w:val="variable"/>
    <w:sig w:usb0="00000000" w:usb1="90000000" w:usb2="00000008" w:usb3="00000000" w:csb0="80000041" w:csb1="00000000"/>
  </w:font>
  <w:font w:name="QCF_P011">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QCF_P012">
    <w:altName w:val="Times New Roman"/>
    <w:charset w:val="00"/>
    <w:family w:val="auto"/>
    <w:pitch w:val="variable"/>
    <w:sig w:usb0="00000000" w:usb1="90000000" w:usb2="00000008" w:usb3="00000000" w:csb0="80000041" w:csb1="00000000"/>
  </w:font>
  <w:font w:name="QCF_P55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715"/>
    <w:rsid w:val="00113800"/>
    <w:rsid w:val="001A2769"/>
    <w:rsid w:val="004168A0"/>
    <w:rsid w:val="004219C3"/>
    <w:rsid w:val="00607E0C"/>
    <w:rsid w:val="0066326A"/>
    <w:rsid w:val="006B048B"/>
    <w:rsid w:val="00785C26"/>
    <w:rsid w:val="007E5667"/>
    <w:rsid w:val="00916DA5"/>
    <w:rsid w:val="00965715"/>
    <w:rsid w:val="00BE1BAD"/>
    <w:rsid w:val="00D0373D"/>
    <w:rsid w:val="00E3344E"/>
    <w:rsid w:val="00F43956"/>
    <w:rsid w:val="00F84DE5"/>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1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5715"/>
    <w:pPr>
      <w:bidi w:val="0"/>
      <w:spacing w:before="100" w:beforeAutospacing="1" w:after="100" w:afterAutospacing="1"/>
    </w:pPr>
  </w:style>
  <w:style w:type="paragraph" w:customStyle="1" w:styleId="Affiliation">
    <w:name w:val="Affiliation"/>
    <w:uiPriority w:val="99"/>
    <w:rsid w:val="00965715"/>
    <w:pPr>
      <w:suppressAutoHyphens/>
      <w:jc w:val="center"/>
    </w:pPr>
    <w:rPr>
      <w:rFonts w:ascii="Times New Roman" w:eastAsia="SimSun" w:hAnsi="Times New Roman" w:cs="Times New Roman"/>
      <w:lang w:eastAsia="zh-CN"/>
    </w:rPr>
  </w:style>
  <w:style w:type="paragraph" w:customStyle="1" w:styleId="Author">
    <w:name w:val="Author"/>
    <w:uiPriority w:val="99"/>
    <w:rsid w:val="00965715"/>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965715"/>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9657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1260</Words>
  <Characters>7187</Characters>
  <Application>Microsoft Office Word</Application>
  <DocSecurity>0</DocSecurity>
  <Lines>59</Lines>
  <Paragraphs>16</Paragraphs>
  <ScaleCrop>false</ScaleCrop>
  <Company>Fannan</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2013-06-23T11:19:00Z</dcterms:created>
  <dcterms:modified xsi:type="dcterms:W3CDTF">2013-06-25T11:09:00Z</dcterms:modified>
</cp:coreProperties>
</file>