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A1476C" w:rsidP="00A1476C">
      <w:pPr>
        <w:spacing w:line="240" w:lineRule="auto"/>
        <w:jc w:val="center"/>
        <w:rPr>
          <w:i/>
          <w:iCs/>
          <w:rtl/>
        </w:rPr>
      </w:pPr>
      <w:r w:rsidRPr="00A1476C">
        <w:rPr>
          <w:rFonts w:asciiTheme="majorBidi" w:eastAsia="Calibri" w:hAnsiTheme="majorBidi" w:cstheme="majorBidi"/>
          <w:i/>
          <w:iCs/>
          <w:sz w:val="48"/>
          <w:szCs w:val="48"/>
          <w:rtl/>
        </w:rPr>
        <w:t>كيف نشأ الدخيل؟</w:t>
      </w:r>
    </w:p>
    <w:p w:rsidR="00A1476C" w:rsidRPr="009264EA" w:rsidRDefault="00A1476C" w:rsidP="00A1476C">
      <w:pPr>
        <w:pStyle w:val="papersubtitle"/>
        <w:bidi/>
        <w:rPr>
          <w:i/>
          <w:iCs/>
          <w:rtl/>
        </w:rPr>
      </w:pPr>
      <w:r w:rsidRPr="009264EA">
        <w:rPr>
          <w:i/>
          <w:iCs/>
          <w:rtl/>
        </w:rPr>
        <w:t xml:space="preserve">بحث  فى </w:t>
      </w:r>
      <w:r>
        <w:rPr>
          <w:rFonts w:hint="cs"/>
          <w:i/>
          <w:iCs/>
          <w:rtl/>
        </w:rPr>
        <w:t>الدخيل فى التفسير</w:t>
      </w:r>
    </w:p>
    <w:p w:rsidR="00A1476C" w:rsidRPr="009264EA" w:rsidRDefault="00A1476C" w:rsidP="0020729A">
      <w:pPr>
        <w:pStyle w:val="papersubtitle"/>
        <w:bidi/>
        <w:rPr>
          <w:i/>
          <w:iCs/>
          <w:sz w:val="24"/>
          <w:szCs w:val="24"/>
          <w:lang w:bidi="ar-EG"/>
        </w:rPr>
      </w:pPr>
      <w:r w:rsidRPr="009264EA">
        <w:rPr>
          <w:i/>
          <w:iCs/>
          <w:sz w:val="24"/>
          <w:szCs w:val="24"/>
          <w:rtl/>
        </w:rPr>
        <w:t xml:space="preserve">إعداد أ/ </w:t>
      </w:r>
      <w:r w:rsidR="0020729A" w:rsidRPr="0020729A">
        <w:rPr>
          <w:rFonts w:cs="Arial" w:hint="cs"/>
          <w:i/>
          <w:iCs/>
          <w:sz w:val="24"/>
          <w:szCs w:val="24"/>
          <w:rtl/>
          <w:lang w:bidi="ar-EG"/>
        </w:rPr>
        <w:t>فاطمة</w:t>
      </w:r>
      <w:r w:rsidR="0020729A" w:rsidRPr="0020729A">
        <w:rPr>
          <w:rFonts w:cs="Arial"/>
          <w:i/>
          <w:iCs/>
          <w:sz w:val="24"/>
          <w:szCs w:val="24"/>
          <w:rtl/>
          <w:lang w:bidi="ar-EG"/>
        </w:rPr>
        <w:t xml:space="preserve"> </w:t>
      </w:r>
      <w:r w:rsidR="0020729A" w:rsidRPr="0020729A">
        <w:rPr>
          <w:rFonts w:cs="Arial" w:hint="cs"/>
          <w:i/>
          <w:iCs/>
          <w:sz w:val="24"/>
          <w:szCs w:val="24"/>
          <w:rtl/>
          <w:lang w:bidi="ar-EG"/>
        </w:rPr>
        <w:t>السيد</w:t>
      </w:r>
      <w:r w:rsidR="0020729A" w:rsidRPr="0020729A">
        <w:rPr>
          <w:rFonts w:cs="Arial"/>
          <w:i/>
          <w:iCs/>
          <w:sz w:val="24"/>
          <w:szCs w:val="24"/>
          <w:rtl/>
          <w:lang w:bidi="ar-EG"/>
        </w:rPr>
        <w:t xml:space="preserve"> </w:t>
      </w:r>
      <w:proofErr w:type="spellStart"/>
      <w:r w:rsidR="0020729A" w:rsidRPr="0020729A">
        <w:rPr>
          <w:rFonts w:cs="Arial" w:hint="cs"/>
          <w:i/>
          <w:iCs/>
          <w:sz w:val="24"/>
          <w:szCs w:val="24"/>
          <w:rtl/>
          <w:lang w:bidi="ar-EG"/>
        </w:rPr>
        <w:t>العشرى</w:t>
      </w:r>
      <w:proofErr w:type="spellEnd"/>
    </w:p>
    <w:p w:rsidR="00A1476C" w:rsidRPr="009264EA" w:rsidRDefault="00A1476C" w:rsidP="00A1476C">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A1476C" w:rsidRPr="009264EA" w:rsidRDefault="00A1476C" w:rsidP="00A1476C">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A1476C" w:rsidRPr="009264EA" w:rsidRDefault="00A1476C" w:rsidP="00A1476C">
      <w:pPr>
        <w:pStyle w:val="papersubtitle"/>
        <w:bidi/>
        <w:rPr>
          <w:i/>
          <w:iCs/>
          <w:sz w:val="22"/>
          <w:szCs w:val="22"/>
          <w:rtl/>
        </w:rPr>
      </w:pPr>
      <w:r w:rsidRPr="009264EA">
        <w:rPr>
          <w:i/>
          <w:iCs/>
          <w:sz w:val="22"/>
          <w:szCs w:val="22"/>
          <w:rtl/>
        </w:rPr>
        <w:t>شاه علم – ماليزيا</w:t>
      </w:r>
    </w:p>
    <w:p w:rsidR="00A1476C" w:rsidRDefault="0020729A" w:rsidP="00A1476C">
      <w:pPr>
        <w:spacing w:line="240" w:lineRule="auto"/>
        <w:jc w:val="center"/>
        <w:rPr>
          <w:rFonts w:ascii="Calibri" w:hAnsi="Calibri" w:cs="AL-Mateen"/>
          <w:sz w:val="32"/>
          <w:szCs w:val="32"/>
          <w:lang w:bidi="ar-EG"/>
        </w:rPr>
      </w:pPr>
      <w:r w:rsidRPr="0020729A">
        <w:rPr>
          <w:rFonts w:asciiTheme="majorBidi" w:hAnsiTheme="majorBidi" w:cs="AL-Hotham"/>
          <w:i/>
          <w:iCs/>
          <w:lang w:bidi="ar-EG"/>
        </w:rPr>
        <w:t>fatma.alsayed@mediu.ws</w:t>
      </w:r>
    </w:p>
    <w:p w:rsidR="00A1476C" w:rsidRDefault="00A1476C" w:rsidP="00A1476C">
      <w:pPr>
        <w:spacing w:after="120" w:line="240" w:lineRule="auto"/>
        <w:rPr>
          <w:rFonts w:asciiTheme="majorBidi" w:hAnsiTheme="majorBidi" w:cstheme="majorBidi"/>
          <w:b/>
          <w:bCs/>
          <w:sz w:val="20"/>
          <w:szCs w:val="20"/>
          <w:rtl/>
        </w:rPr>
        <w:sectPr w:rsidR="00A1476C" w:rsidSect="00BF7572">
          <w:pgSz w:w="11906" w:h="16838"/>
          <w:pgMar w:top="964" w:right="1021" w:bottom="964" w:left="1021" w:header="709" w:footer="709" w:gutter="0"/>
          <w:cols w:space="708"/>
          <w:bidi/>
          <w:rtlGutter/>
          <w:docGrid w:linePitch="360"/>
        </w:sectPr>
      </w:pPr>
    </w:p>
    <w:p w:rsidR="00A1476C" w:rsidRPr="00A1476C" w:rsidRDefault="00A1476C" w:rsidP="00A1476C">
      <w:pPr>
        <w:spacing w:after="120" w:line="240" w:lineRule="auto"/>
        <w:rPr>
          <w:rFonts w:asciiTheme="majorBidi" w:hAnsiTheme="majorBidi" w:cstheme="majorBidi"/>
          <w:b/>
          <w:bCs/>
          <w:sz w:val="20"/>
          <w:szCs w:val="20"/>
          <w:rtl/>
        </w:rPr>
      </w:pPr>
      <w:r w:rsidRPr="00A1476C">
        <w:rPr>
          <w:rFonts w:asciiTheme="majorBidi" w:hAnsiTheme="majorBidi" w:cstheme="majorBidi"/>
          <w:b/>
          <w:bCs/>
          <w:sz w:val="20"/>
          <w:szCs w:val="20"/>
          <w:rtl/>
        </w:rPr>
        <w:lastRenderedPageBreak/>
        <w:t xml:space="preserve">خلاصة ـــ هذا البحث يبحث في </w:t>
      </w:r>
      <w:r w:rsidRPr="00A1476C">
        <w:rPr>
          <w:rFonts w:asciiTheme="majorBidi" w:eastAsia="Calibri" w:hAnsiTheme="majorBidi" w:cstheme="majorBidi"/>
          <w:b/>
          <w:bCs/>
          <w:sz w:val="20"/>
          <w:szCs w:val="20"/>
          <w:rtl/>
        </w:rPr>
        <w:t>كيف نشأ الدخيل؟</w:t>
      </w:r>
    </w:p>
    <w:p w:rsidR="00A1476C" w:rsidRPr="00A1476C" w:rsidRDefault="00A1476C" w:rsidP="00A1476C">
      <w:pPr>
        <w:spacing w:after="120" w:line="240" w:lineRule="auto"/>
        <w:rPr>
          <w:rFonts w:asciiTheme="majorBidi" w:hAnsiTheme="majorBidi" w:cstheme="majorBidi"/>
          <w:b/>
          <w:bCs/>
          <w:sz w:val="20"/>
          <w:szCs w:val="20"/>
          <w:rtl/>
          <w:lang w:bidi="ar-EG"/>
        </w:rPr>
      </w:pPr>
      <w:r w:rsidRPr="00A1476C">
        <w:rPr>
          <w:rFonts w:asciiTheme="majorBidi" w:hAnsiTheme="majorBidi" w:cstheme="majorBidi"/>
          <w:b/>
          <w:bCs/>
          <w:sz w:val="20"/>
          <w:szCs w:val="20"/>
          <w:rtl/>
        </w:rPr>
        <w:t>الكلمات المفتاحية : الإسلام ،</w:t>
      </w:r>
      <w:r w:rsidRPr="00A1476C">
        <w:rPr>
          <w:rFonts w:asciiTheme="majorBidi" w:eastAsia="Calibri" w:hAnsiTheme="majorBidi" w:cstheme="majorBidi"/>
          <w:b/>
          <w:bCs/>
          <w:sz w:val="20"/>
          <w:szCs w:val="20"/>
          <w:rtl/>
        </w:rPr>
        <w:t xml:space="preserve"> الدخيل</w:t>
      </w:r>
      <w:r w:rsidRPr="00A1476C">
        <w:rPr>
          <w:rFonts w:asciiTheme="majorBidi" w:hAnsiTheme="majorBidi" w:cstheme="majorBidi"/>
          <w:b/>
          <w:bCs/>
          <w:sz w:val="20"/>
          <w:szCs w:val="20"/>
          <w:rtl/>
        </w:rPr>
        <w:t xml:space="preserve"> ، الصحابة</w:t>
      </w:r>
    </w:p>
    <w:p w:rsidR="00A1476C" w:rsidRPr="00A1476C" w:rsidRDefault="00A1476C" w:rsidP="00A1476C">
      <w:pPr>
        <w:pStyle w:val="a4"/>
        <w:numPr>
          <w:ilvl w:val="0"/>
          <w:numId w:val="1"/>
        </w:numPr>
        <w:spacing w:after="120"/>
        <w:jc w:val="center"/>
        <w:rPr>
          <w:rFonts w:asciiTheme="majorBidi" w:hAnsiTheme="majorBidi" w:cstheme="majorBidi"/>
          <w:b/>
          <w:bCs/>
          <w:sz w:val="20"/>
          <w:szCs w:val="20"/>
          <w:rtl/>
        </w:rPr>
      </w:pPr>
      <w:r w:rsidRPr="00A1476C">
        <w:rPr>
          <w:rFonts w:asciiTheme="majorBidi" w:hAnsiTheme="majorBidi" w:cstheme="majorBidi"/>
          <w:b/>
          <w:bCs/>
          <w:sz w:val="20"/>
          <w:szCs w:val="20"/>
          <w:rtl/>
        </w:rPr>
        <w:t>المقدمة</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tl/>
        </w:rPr>
      </w:pPr>
      <w:r w:rsidRPr="00A1476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1476C">
        <w:rPr>
          <w:rFonts w:asciiTheme="majorBidi" w:eastAsia="Calibri" w:hAnsiTheme="majorBidi" w:cstheme="majorBidi"/>
          <w:b/>
          <w:bCs/>
          <w:sz w:val="20"/>
          <w:szCs w:val="20"/>
          <w:rtl/>
        </w:rPr>
        <w:t>كيف نشأ الدخيل؟</w:t>
      </w:r>
    </w:p>
    <w:p w:rsidR="00A1476C" w:rsidRPr="00A1476C" w:rsidRDefault="00A1476C" w:rsidP="00A1476C">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A1476C">
        <w:rPr>
          <w:rFonts w:asciiTheme="majorBidi" w:hAnsiTheme="majorBidi" w:cstheme="majorBidi"/>
          <w:b/>
          <w:bCs/>
          <w:sz w:val="20"/>
          <w:szCs w:val="20"/>
          <w:rtl/>
        </w:rPr>
        <w:t>عنوان المقال</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إن الدخيل له مصدران أساسيان: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color w:val="000080"/>
          <w:sz w:val="20"/>
          <w:szCs w:val="20"/>
          <w:rtl/>
          <w:lang w:bidi="ar-EG"/>
        </w:rPr>
        <w:t>المصدر الأول:</w:t>
      </w:r>
      <w:r w:rsidRPr="00A1476C">
        <w:rPr>
          <w:rFonts w:asciiTheme="majorBidi" w:hAnsiTheme="majorBidi" w:cstheme="majorBidi"/>
          <w:b/>
          <w:bCs/>
          <w:sz w:val="20"/>
          <w:szCs w:val="20"/>
          <w:rtl/>
        </w:rPr>
        <w:t xml:space="preserve"> أعداء الإسلام.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color w:val="000080"/>
          <w:sz w:val="20"/>
          <w:szCs w:val="20"/>
          <w:rtl/>
          <w:lang w:bidi="ar-EG"/>
        </w:rPr>
        <w:t>المصدر الثاني:</w:t>
      </w:r>
      <w:r w:rsidRPr="00A1476C">
        <w:rPr>
          <w:rFonts w:asciiTheme="majorBidi" w:hAnsiTheme="majorBidi" w:cstheme="majorBidi"/>
          <w:b/>
          <w:bCs/>
          <w:sz w:val="20"/>
          <w:szCs w:val="20"/>
          <w:rtl/>
        </w:rPr>
        <w:t xml:space="preserve"> التباس، وسوء فهم من الفِرق المنسوبة إلى الِإسلام، أو حتى بعض الصحابة والتابعين، وسنرى ذلك واضحًا. </w:t>
      </w:r>
    </w:p>
    <w:p w:rsidR="00A1476C" w:rsidRPr="00A1476C" w:rsidRDefault="00A1476C" w:rsidP="00A1476C">
      <w:pPr>
        <w:pStyle w:val="a3"/>
        <w:tabs>
          <w:tab w:val="left" w:pos="4454"/>
        </w:tabs>
        <w:bidi/>
        <w:jc w:val="lowKashida"/>
        <w:rPr>
          <w:rFonts w:asciiTheme="majorBidi" w:hAnsiTheme="majorBidi" w:cstheme="majorBidi"/>
          <w:b/>
          <w:bCs/>
          <w:color w:val="000080"/>
          <w:sz w:val="20"/>
          <w:szCs w:val="20"/>
          <w:lang w:bidi="ar-EG"/>
        </w:rPr>
      </w:pPr>
      <w:r w:rsidRPr="00A1476C">
        <w:rPr>
          <w:rFonts w:asciiTheme="majorBidi" w:hAnsiTheme="majorBidi" w:cstheme="majorBidi"/>
          <w:b/>
          <w:bCs/>
          <w:color w:val="000080"/>
          <w:sz w:val="20"/>
          <w:szCs w:val="20"/>
          <w:rtl/>
          <w:lang w:bidi="ar-EG"/>
        </w:rPr>
        <w:t xml:space="preserve">المصدر الأول: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pacing w:val="-6"/>
          <w:sz w:val="20"/>
          <w:szCs w:val="20"/>
          <w:rtl/>
        </w:rPr>
        <w:t xml:space="preserve">هذا المصدر هم: أعداء الإسلام من الكفار، المشركين، اليهود والنصارى، الحاقدون على الإسلام، كل أولئك عندما نزل القرآن الكريم، وارتفعت رايتُه بدأت شبهات الكفار الذين يريدون إظهار القرآن بمظهر المتناقض، ليتوصلوا بذلك إلى أنه ليس من عند الله، وإسقاط حجيته، والطعن بعد ذلك في رسول الله </w:t>
      </w:r>
      <w:r w:rsidRPr="00A1476C">
        <w:rPr>
          <w:rFonts w:asciiTheme="majorBidi" w:hAnsiTheme="majorBidi" w:cstheme="majorBidi"/>
          <w:b/>
          <w:bCs/>
          <w:spacing w:val="-6"/>
          <w:position w:val="-4"/>
          <w:sz w:val="20"/>
          <w:szCs w:val="20"/>
        </w:rPr>
        <w:t></w:t>
      </w:r>
      <w:r w:rsidRPr="00A1476C">
        <w:rPr>
          <w:rFonts w:asciiTheme="majorBidi" w:hAnsiTheme="majorBidi" w:cstheme="majorBidi"/>
          <w:b/>
          <w:bCs/>
          <w:spacing w:val="-6"/>
          <w:sz w:val="20"/>
          <w:szCs w:val="20"/>
          <w:rtl/>
        </w:rPr>
        <w:t xml:space="preserve"> الذي جاءهم به، لا سيما وأن القرآن الكريم قد رفع راية التوحيد، وأظهر أن أصنامهم هي شرك، وحَطَّمَ مكانتها، وأنزل معنوياتهم، فالقرآن هو الذي يقول لهم:</w:t>
      </w:r>
      <w:r w:rsidRPr="00A1476C">
        <w:rPr>
          <w:rFonts w:ascii="Tahoma" w:hAnsi="Tahoma" w:cs="DecoType Thuluth" w:hint="cs"/>
          <w:color w:val="008000"/>
          <w:sz w:val="20"/>
          <w:szCs w:val="20"/>
          <w:rtl/>
        </w:rPr>
        <w:t xml:space="preserve"> {</w:t>
      </w:r>
      <w:r w:rsidRPr="00A1476C">
        <w:rPr>
          <w:rFonts w:ascii="QCF_P330" w:hAnsi="QCF_P330" w:cs="QCF_P330"/>
          <w:color w:val="008000"/>
          <w:sz w:val="20"/>
          <w:szCs w:val="20"/>
          <w:rtl/>
        </w:rPr>
        <w:t>ﮢ ﮣ ﮤ ﮥ ﮦ ﮧ ﮨ ﮩ ﮪ ﮫ ﮬ</w:t>
      </w:r>
      <w:r w:rsidRPr="00A1476C">
        <w:rPr>
          <w:rFonts w:ascii="QCF_P330" w:hAnsi="QCF_P330"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[الأنبياء: 98] وبين لهم أن هذه الأصنام لا تنفع، ولا تضر، وليس لها من جدوى، فحطم ما ألفوا عبادته مئات السنين أو قرونًا طويلة فيما مضى.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فبدأ الكفار يثيرون الشبهات، ويعترضون على بعض الآيات، وينتشر كلامهم وأباطيلهم، ويعلنونها بين الناس، من أمثلة ذلك: حديث أخرجه الإمام مسلم يقول: عن المغيرة بن شعبة قال: بعثني رسول الله </w:t>
      </w:r>
      <w:r w:rsidRPr="00A1476C">
        <w:rPr>
          <w:rFonts w:asciiTheme="majorBidi" w:hAnsiTheme="majorBidi" w:cstheme="majorBidi"/>
          <w:b/>
          <w:bCs/>
          <w:position w:val="-4"/>
          <w:sz w:val="20"/>
          <w:szCs w:val="20"/>
        </w:rPr>
        <w:t></w:t>
      </w:r>
      <w:r w:rsidRPr="00A1476C">
        <w:rPr>
          <w:rFonts w:asciiTheme="majorBidi" w:hAnsiTheme="majorBidi" w:cstheme="majorBidi"/>
          <w:b/>
          <w:bCs/>
          <w:sz w:val="20"/>
          <w:szCs w:val="20"/>
          <w:rtl/>
        </w:rPr>
        <w:t xml:space="preserve"> إلى نجران، فقالوا: أريت ما تقرءون</w:t>
      </w:r>
      <w:r w:rsidRPr="00A1476C">
        <w:rPr>
          <w:rFonts w:ascii="Tahoma" w:hAnsi="Tahoma" w:cs="DecoType Thuluth" w:hint="cs"/>
          <w:color w:val="008000"/>
          <w:sz w:val="20"/>
          <w:szCs w:val="20"/>
          <w:rtl/>
        </w:rPr>
        <w:t>{</w:t>
      </w:r>
      <w:r w:rsidRPr="00A1476C">
        <w:rPr>
          <w:rFonts w:ascii="QCF_P307" w:hAnsi="QCF_P307" w:cs="QCF_P307"/>
          <w:color w:val="008000"/>
          <w:sz w:val="20"/>
          <w:szCs w:val="20"/>
          <w:rtl/>
        </w:rPr>
        <w:t>ﭱ ﭲ</w:t>
      </w:r>
      <w:r w:rsidRPr="00A1476C">
        <w:rPr>
          <w:rFonts w:ascii="QCF_P307" w:hAnsi="QCF_P307"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[مريم: 28] وموسى كان قبل عيسى بمئات السنين، فيقول: فرجعت إلى رسول الله </w:t>
      </w:r>
      <w:r w:rsidRPr="00A1476C">
        <w:rPr>
          <w:rFonts w:asciiTheme="majorBidi" w:hAnsiTheme="majorBidi" w:cstheme="majorBidi"/>
          <w:b/>
          <w:bCs/>
          <w:position w:val="-4"/>
          <w:sz w:val="20"/>
          <w:szCs w:val="20"/>
        </w:rPr>
        <w:t></w:t>
      </w:r>
      <w:r w:rsidRPr="00A1476C">
        <w:rPr>
          <w:rFonts w:asciiTheme="majorBidi" w:hAnsiTheme="majorBidi" w:cstheme="majorBidi"/>
          <w:b/>
          <w:bCs/>
          <w:sz w:val="20"/>
          <w:szCs w:val="20"/>
          <w:rtl/>
        </w:rPr>
        <w:t xml:space="preserve"> فقال:</w:t>
      </w:r>
      <w:r w:rsidRPr="00A1476C">
        <w:rPr>
          <w:rFonts w:asciiTheme="majorBidi" w:hAnsiTheme="majorBidi" w:cstheme="majorBidi"/>
          <w:b/>
          <w:bCs/>
          <w:color w:val="0000FF"/>
          <w:sz w:val="20"/>
          <w:szCs w:val="20"/>
          <w:rtl/>
        </w:rPr>
        <w:t xml:space="preserve"> ((ألا أخبرتهم أنهم كانوا يسمون بالأنبياء الصالحين قبلهم؟))</w:t>
      </w:r>
      <w:r w:rsidRPr="00A1476C">
        <w:rPr>
          <w:rFonts w:asciiTheme="majorBidi" w:hAnsiTheme="majorBidi" w:cstheme="majorBidi"/>
          <w:b/>
          <w:bCs/>
          <w:sz w:val="20"/>
          <w:szCs w:val="20"/>
          <w:rtl/>
        </w:rPr>
        <w:t xml:space="preserve">.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إن أهل نجران أرادوا أن يلبسوا الأمر على المسلمين زاعمين أن القرآن تكلم عن هارون، وجعلت مريم أختًا لهارون، وهارون أخو موسى -عليهم السلام- بينما هناك فترة زمنية عدة قرون بين موسى وعيسى، فأرادوا بذلك أن يظهروا أن القرآن كلامه غير صحيح. تصدى رسول الله </w:t>
      </w:r>
      <w:r w:rsidRPr="00A1476C">
        <w:rPr>
          <w:rFonts w:asciiTheme="majorBidi" w:hAnsiTheme="majorBidi" w:cstheme="majorBidi"/>
          <w:b/>
          <w:bCs/>
          <w:position w:val="-4"/>
          <w:sz w:val="20"/>
          <w:szCs w:val="20"/>
        </w:rPr>
        <w:t></w:t>
      </w:r>
      <w:r w:rsidRPr="00A1476C">
        <w:rPr>
          <w:rFonts w:asciiTheme="majorBidi" w:hAnsiTheme="majorBidi" w:cstheme="majorBidi"/>
          <w:b/>
          <w:bCs/>
          <w:sz w:val="20"/>
          <w:szCs w:val="20"/>
          <w:rtl/>
        </w:rPr>
        <w:t xml:space="preserve"> لهذه الشبهة الدخيلة، وبين أن هارون هذا الذي نسبت مريم، وقيل في شأنها: </w:t>
      </w:r>
      <w:r w:rsidRPr="00A1476C">
        <w:rPr>
          <w:rFonts w:ascii="Tahoma" w:hAnsi="Tahoma" w:cs="DecoType Thuluth" w:hint="cs"/>
          <w:color w:val="008000"/>
          <w:sz w:val="20"/>
          <w:szCs w:val="20"/>
          <w:rtl/>
        </w:rPr>
        <w:t>{</w:t>
      </w:r>
      <w:r w:rsidRPr="00A1476C">
        <w:rPr>
          <w:rFonts w:ascii="QCF_P307" w:hAnsi="QCF_P307" w:cs="QCF_P307"/>
          <w:color w:val="008000"/>
          <w:sz w:val="20"/>
          <w:szCs w:val="20"/>
          <w:rtl/>
        </w:rPr>
        <w:t>ﭱ ﭲ</w:t>
      </w:r>
      <w:r w:rsidRPr="00A1476C">
        <w:rPr>
          <w:rFonts w:ascii="QCF_P307" w:hAnsi="QCF_P307" w:cs="DecoType Thuluth"/>
          <w:color w:val="008000"/>
          <w:sz w:val="20"/>
          <w:szCs w:val="20"/>
          <w:rtl/>
        </w:rPr>
        <w:t>}</w:t>
      </w:r>
      <w:r w:rsidRPr="00A1476C">
        <w:rPr>
          <w:rFonts w:cs="AL-Hotham" w:hint="cs"/>
          <w:sz w:val="20"/>
          <w:szCs w:val="20"/>
          <w:rtl/>
        </w:rPr>
        <w:t xml:space="preserve"> </w:t>
      </w:r>
      <w:r w:rsidRPr="00A1476C">
        <w:rPr>
          <w:rFonts w:asciiTheme="majorBidi" w:hAnsiTheme="majorBidi" w:cstheme="majorBidi"/>
          <w:b/>
          <w:bCs/>
          <w:sz w:val="20"/>
          <w:szCs w:val="20"/>
          <w:rtl/>
        </w:rPr>
        <w:t xml:space="preserve">ليس هو أخو موسى </w:t>
      </w:r>
      <w:r w:rsidRPr="00A1476C">
        <w:rPr>
          <w:rFonts w:asciiTheme="majorBidi" w:hAnsiTheme="majorBidi" w:cstheme="majorBidi"/>
          <w:b/>
          <w:bCs/>
          <w:position w:val="-4"/>
          <w:sz w:val="20"/>
          <w:szCs w:val="20"/>
          <w:rtl/>
        </w:rPr>
        <w:t>#</w:t>
      </w:r>
      <w:r w:rsidRPr="00A1476C">
        <w:rPr>
          <w:rFonts w:asciiTheme="majorBidi" w:hAnsiTheme="majorBidi" w:cstheme="majorBidi"/>
          <w:b/>
          <w:bCs/>
          <w:sz w:val="20"/>
          <w:szCs w:val="20"/>
          <w:rtl/>
        </w:rPr>
        <w:t xml:space="preserve"> إنما هو هارون آخر، إلى غير ذلك.</w:t>
      </w:r>
    </w:p>
    <w:p w:rsidR="00A1476C" w:rsidRPr="00A1476C" w:rsidRDefault="00A1476C" w:rsidP="00A1476C">
      <w:pPr>
        <w:pStyle w:val="a3"/>
        <w:bidi/>
        <w:spacing w:before="0" w:beforeAutospacing="0" w:after="120" w:afterAutospacing="0"/>
        <w:jc w:val="both"/>
        <w:rPr>
          <w:rFonts w:asciiTheme="majorBidi" w:hAnsiTheme="majorBidi" w:cstheme="majorBidi"/>
          <w:b/>
          <w:bCs/>
          <w:sz w:val="20"/>
          <w:szCs w:val="20"/>
        </w:rPr>
      </w:pPr>
      <w:r w:rsidRPr="00A1476C">
        <w:rPr>
          <w:rFonts w:asciiTheme="majorBidi" w:hAnsiTheme="majorBidi" w:cstheme="majorBidi"/>
          <w:b/>
          <w:bCs/>
          <w:sz w:val="20"/>
          <w:szCs w:val="20"/>
          <w:rtl/>
        </w:rPr>
        <w:t xml:space="preserve">وبدأ الكفار يتندرون </w:t>
      </w:r>
      <w:r w:rsidRPr="00A1476C">
        <w:rPr>
          <w:rFonts w:ascii="QCF_P498" w:hAnsi="QCF_P498" w:cs="QCF_P498"/>
          <w:color w:val="008000"/>
          <w:sz w:val="20"/>
          <w:szCs w:val="20"/>
          <w:rtl/>
        </w:rPr>
        <w:t>ﭬ ﭭ ﭮ ﭯ</w:t>
      </w:r>
      <w:r w:rsidRPr="00A1476C">
        <w:rPr>
          <w:rFonts w:ascii="QCF_BSML" w:hAnsi="QCF_BSML" w:cs="QCF_BSML" w:hint="cs"/>
          <w:color w:val="008000"/>
          <w:sz w:val="20"/>
          <w:szCs w:val="20"/>
          <w:rtl/>
        </w:rPr>
        <w:t xml:space="preserve"> </w:t>
      </w:r>
      <w:r w:rsidRPr="00A1476C">
        <w:rPr>
          <w:rFonts w:ascii="QCF_P498" w:hAnsi="QCF_P498" w:cs="QCF_P498"/>
          <w:color w:val="008000"/>
          <w:sz w:val="20"/>
          <w:szCs w:val="20"/>
          <w:rtl/>
        </w:rPr>
        <w:t>ﭰ ﭱ ﭲ</w:t>
      </w:r>
      <w:r w:rsidRPr="00A1476C">
        <w:rPr>
          <w:rFonts w:cs="DecoType Naskh"/>
          <w:color w:val="000000"/>
          <w:sz w:val="20"/>
          <w:szCs w:val="20"/>
          <w:rtl/>
        </w:rPr>
        <w:t xml:space="preserve"> </w:t>
      </w:r>
      <w:r w:rsidRPr="00A1476C">
        <w:rPr>
          <w:rFonts w:ascii="QCF_P498" w:hAnsi="QCF_P498" w:cs="QCF_P498" w:hint="cs"/>
          <w:color w:val="008000"/>
          <w:sz w:val="20"/>
          <w:szCs w:val="20"/>
          <w:rtl/>
        </w:rPr>
        <w:t xml:space="preserve"> </w:t>
      </w:r>
      <w:r w:rsidRPr="00A1476C">
        <w:rPr>
          <w:rFonts w:ascii="QCF_P498" w:hAnsi="QCF_P498" w:cs="QCF_P498"/>
          <w:color w:val="008000"/>
          <w:sz w:val="20"/>
          <w:szCs w:val="20"/>
          <w:rtl/>
        </w:rPr>
        <w:t>ﭳ ﭴ ﭵ ﭶ</w:t>
      </w:r>
      <w:r w:rsidRPr="00A1476C">
        <w:rPr>
          <w:rFonts w:ascii="QCF_P498" w:hAnsi="QCF_P498"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[الدخان: 43- 45] إلى آخر الآيات: </w:t>
      </w:r>
      <w:r w:rsidRPr="00A1476C">
        <w:rPr>
          <w:rFonts w:ascii="Tahoma" w:hAnsi="Tahoma" w:cs="DecoType Thuluth" w:hint="cs"/>
          <w:color w:val="008000"/>
          <w:sz w:val="20"/>
          <w:szCs w:val="20"/>
          <w:rtl/>
        </w:rPr>
        <w:t>{</w:t>
      </w:r>
      <w:r w:rsidRPr="00A1476C">
        <w:rPr>
          <w:rFonts w:ascii="QCF_P448" w:hAnsi="QCF_P448" w:cs="QCF_P448"/>
          <w:color w:val="008000"/>
          <w:sz w:val="20"/>
          <w:szCs w:val="20"/>
          <w:rtl/>
        </w:rPr>
        <w:t>ﮟ ﮠ ﮡ ﮢ</w:t>
      </w:r>
      <w:r w:rsidRPr="00A1476C">
        <w:rPr>
          <w:rFonts w:ascii="QCF_P448" w:hAnsi="QCF_P448"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[الصافات: 65] بدأ الكفار يتندرون ويتكلمون حول الآيات عن شجرة الزقوم.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lastRenderedPageBreak/>
        <w:t xml:space="preserve">ولما نزل قول الله -جل وعلا-: </w:t>
      </w:r>
      <w:r w:rsidRPr="00A1476C">
        <w:rPr>
          <w:rFonts w:cs="AL-Hotham" w:hint="cs"/>
          <w:sz w:val="20"/>
          <w:szCs w:val="20"/>
          <w:rtl/>
        </w:rPr>
        <w:t xml:space="preserve"> </w:t>
      </w:r>
      <w:r w:rsidRPr="00A1476C">
        <w:rPr>
          <w:rFonts w:ascii="Tahoma" w:hAnsi="Tahoma" w:cs="DecoType Thuluth" w:hint="cs"/>
          <w:color w:val="008000"/>
          <w:sz w:val="20"/>
          <w:szCs w:val="20"/>
          <w:rtl/>
        </w:rPr>
        <w:t>{</w:t>
      </w:r>
      <w:r w:rsidRPr="00A1476C">
        <w:rPr>
          <w:rFonts w:ascii="QCF_P576" w:hAnsi="QCF_P576" w:cs="QCF_P576"/>
          <w:color w:val="008000"/>
          <w:sz w:val="20"/>
          <w:szCs w:val="20"/>
          <w:rtl/>
        </w:rPr>
        <w:t>ﮆ ﮇ ﮈ</w:t>
      </w:r>
      <w:r w:rsidRPr="00A1476C">
        <w:rPr>
          <w:rFonts w:ascii="QCF_P576" w:hAnsi="QCF_P576"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[المدثر: 30] عن النار، بدءوا يتكلمون ويسخرون من هذا الكلام، وهذه الآيات. </w:t>
      </w:r>
    </w:p>
    <w:p w:rsidR="00A1476C" w:rsidRPr="00A1476C" w:rsidRDefault="00A1476C" w:rsidP="00A1476C">
      <w:pPr>
        <w:pStyle w:val="a3"/>
        <w:bidi/>
        <w:spacing w:before="0" w:beforeAutospacing="0" w:after="120" w:afterAutospacing="0"/>
        <w:jc w:val="both"/>
        <w:rPr>
          <w:rFonts w:asciiTheme="majorBidi" w:hAnsiTheme="majorBidi" w:cstheme="majorBidi"/>
          <w:b/>
          <w:bCs/>
          <w:sz w:val="20"/>
          <w:szCs w:val="20"/>
        </w:rPr>
      </w:pPr>
      <w:r w:rsidRPr="00A1476C">
        <w:rPr>
          <w:rFonts w:asciiTheme="majorBidi" w:hAnsiTheme="majorBidi" w:cstheme="majorBidi"/>
          <w:b/>
          <w:bCs/>
          <w:sz w:val="20"/>
          <w:szCs w:val="20"/>
          <w:rtl/>
        </w:rPr>
        <w:t xml:space="preserve">كما تندر اليهود لما نزل قول الله -جل وعلا-: </w:t>
      </w:r>
      <w:r w:rsidRPr="00A1476C">
        <w:rPr>
          <w:rFonts w:ascii="Tahoma" w:hAnsi="Tahoma" w:cs="DecoType Thuluth" w:hint="cs"/>
          <w:color w:val="008000"/>
          <w:sz w:val="20"/>
          <w:szCs w:val="20"/>
          <w:rtl/>
        </w:rPr>
        <w:t>{</w:t>
      </w:r>
      <w:r w:rsidRPr="00A1476C">
        <w:rPr>
          <w:rFonts w:ascii="QCF_P039" w:hAnsi="QCF_P039" w:cs="QCF_P039"/>
          <w:color w:val="008000"/>
          <w:sz w:val="20"/>
          <w:szCs w:val="20"/>
          <w:rtl/>
        </w:rPr>
        <w:t>ﯣ ﯤ ﯥ ﯦ ﯧ ﯨ ﯩ</w:t>
      </w:r>
      <w:r w:rsidRPr="00A1476C">
        <w:rPr>
          <w:rFonts w:ascii="QCF_P039" w:hAnsi="QCF_P039"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[البقرة: 245] بدءوا يتكلمون: الله يريد القرض؟ الله فقير؟ وأخذوا يثيرون الشبهات، وأنزل الله -جل وعلا- ردًّا على افتراءاتهم: </w:t>
      </w:r>
      <w:r w:rsidRPr="00A1476C">
        <w:rPr>
          <w:rFonts w:ascii="Tahoma" w:hAnsi="Tahoma" w:cs="DecoType Thuluth" w:hint="cs"/>
          <w:color w:val="008000"/>
          <w:sz w:val="20"/>
          <w:szCs w:val="20"/>
          <w:rtl/>
        </w:rPr>
        <w:t>{</w:t>
      </w:r>
      <w:r w:rsidRPr="00A1476C">
        <w:rPr>
          <w:rFonts w:ascii="QCF_P074" w:hAnsi="QCF_P074" w:cs="QCF_P074"/>
          <w:color w:val="008000"/>
          <w:sz w:val="20"/>
          <w:szCs w:val="20"/>
          <w:rtl/>
        </w:rPr>
        <w:t>ﭑ ﭒ ﭓ ﭔ ﭕ ﭖ ﭗ ﭘ ﭙ ﭚ ﭛ ﭜ ﭝ ﭞ ﭟ ﭠ ﭡ ﭢ ﭣ ﭤ ﭥ ﭦ ﭧ</w:t>
      </w:r>
      <w:r w:rsidRPr="00A1476C">
        <w:rPr>
          <w:rFonts w:ascii="QCF_P074" w:hAnsi="QCF_P074"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[آل عمران: 181].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آيات من هذا النوع كانت تنزل لهم، وتعلن عليهم واقعًا وحقائق، لكنهم الكفر يملأ جوانحهم، والحقد على الإسلام وعلى القرآن، الذي حطم أصنامهم، ورفع التوحيد راية عالية، بدءوا يثيرون الشُّبه، والدخيل، والأباطيل حول هذه الآيات. </w:t>
      </w:r>
    </w:p>
    <w:p w:rsidR="00A1476C" w:rsidRPr="00A1476C" w:rsidRDefault="00A1476C" w:rsidP="00A1476C">
      <w:pPr>
        <w:pStyle w:val="a3"/>
        <w:bidi/>
        <w:jc w:val="lowKashida"/>
        <w:rPr>
          <w:rFonts w:asciiTheme="majorBidi" w:hAnsiTheme="majorBidi" w:cstheme="majorBidi"/>
          <w:b/>
          <w:bCs/>
          <w:color w:val="000080"/>
          <w:sz w:val="20"/>
          <w:szCs w:val="20"/>
          <w:rtl/>
          <w:lang w:bidi="ar-EG"/>
        </w:rPr>
      </w:pPr>
      <w:r w:rsidRPr="00A1476C">
        <w:rPr>
          <w:rFonts w:asciiTheme="majorBidi" w:hAnsiTheme="majorBidi" w:cstheme="majorBidi"/>
          <w:b/>
          <w:bCs/>
          <w:color w:val="000080"/>
          <w:sz w:val="20"/>
          <w:szCs w:val="20"/>
          <w:rtl/>
          <w:lang w:bidi="ar-EG"/>
        </w:rPr>
        <w:t xml:space="preserve">المصدر الثاني: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في العهد النبوي الكريم، سواء كان من الالتباس أو سوء فهم لبعض صحابة رسول الله </w:t>
      </w:r>
      <w:r w:rsidRPr="00A1476C">
        <w:rPr>
          <w:rFonts w:asciiTheme="majorBidi" w:hAnsiTheme="majorBidi" w:cstheme="majorBidi"/>
          <w:b/>
          <w:bCs/>
          <w:position w:val="-4"/>
          <w:sz w:val="20"/>
          <w:szCs w:val="20"/>
        </w:rPr>
        <w:t></w:t>
      </w:r>
      <w:r w:rsidRPr="00A1476C">
        <w:rPr>
          <w:rFonts w:asciiTheme="majorBidi" w:hAnsiTheme="majorBidi" w:cstheme="majorBidi"/>
          <w:b/>
          <w:bCs/>
          <w:sz w:val="20"/>
          <w:szCs w:val="20"/>
          <w:rtl/>
        </w:rPr>
        <w:t xml:space="preserve"> أو كانت لبعض الفرق التي حسبت على الإسلام، وظهر آثارها بعد ذلك،  هناك من غير سوء قصد، كان هناك لبس، تعجل بعض صحابة رسول الله </w:t>
      </w:r>
      <w:r w:rsidRPr="00A1476C">
        <w:rPr>
          <w:rFonts w:asciiTheme="majorBidi" w:hAnsiTheme="majorBidi" w:cstheme="majorBidi"/>
          <w:b/>
          <w:bCs/>
          <w:position w:val="-4"/>
          <w:sz w:val="20"/>
          <w:szCs w:val="20"/>
        </w:rPr>
        <w:t></w:t>
      </w:r>
      <w:r w:rsidRPr="00A1476C">
        <w:rPr>
          <w:rFonts w:asciiTheme="majorBidi" w:hAnsiTheme="majorBidi" w:cstheme="majorBidi"/>
          <w:b/>
          <w:bCs/>
          <w:sz w:val="20"/>
          <w:szCs w:val="20"/>
          <w:rtl/>
        </w:rPr>
        <w:t xml:space="preserve"> عند بعض الآيات، لما نزل قول الله -جل وعلا-: </w:t>
      </w:r>
      <w:r w:rsidRPr="00A1476C">
        <w:rPr>
          <w:rFonts w:ascii="Tahoma" w:hAnsi="Tahoma" w:cs="DecoType Thuluth" w:hint="cs"/>
          <w:color w:val="008000"/>
          <w:sz w:val="20"/>
          <w:szCs w:val="20"/>
          <w:rtl/>
        </w:rPr>
        <w:t>{</w:t>
      </w:r>
      <w:r w:rsidRPr="00A1476C">
        <w:rPr>
          <w:rFonts w:ascii="QCF_P029" w:hAnsi="QCF_P029" w:cs="QCF_P029"/>
          <w:color w:val="008000"/>
          <w:sz w:val="20"/>
          <w:szCs w:val="20"/>
          <w:rtl/>
        </w:rPr>
        <w:t>ﭳ ﭴ ﭵ ﭶ ﭷ ﭸ ﭹ ﭺ ﭻ ﭼ ﭽ ﭾ ﭿ</w:t>
      </w:r>
      <w:r w:rsidRPr="00A1476C">
        <w:rPr>
          <w:rFonts w:ascii="QCF_P029" w:hAnsi="QCF_P029" w:cs="DecoType Thuluth"/>
          <w:color w:val="008000"/>
          <w:sz w:val="20"/>
          <w:szCs w:val="20"/>
          <w:rtl/>
        </w:rPr>
        <w:t>}</w:t>
      </w:r>
      <w:r w:rsidRPr="00A1476C">
        <w:rPr>
          <w:rFonts w:asciiTheme="majorBidi" w:hAnsiTheme="majorBidi" w:cstheme="majorBidi"/>
          <w:b/>
          <w:bCs/>
          <w:sz w:val="20"/>
          <w:szCs w:val="20"/>
          <w:rtl/>
        </w:rPr>
        <w:t xml:space="preserve"> [البقرة: 187] لم تكن كلمة: </w:t>
      </w:r>
      <w:r w:rsidRPr="00A1476C">
        <w:rPr>
          <w:rFonts w:cs="DecoType Thuluth" w:hint="cs"/>
          <w:color w:val="008000"/>
          <w:sz w:val="20"/>
          <w:szCs w:val="20"/>
          <w:rtl/>
        </w:rPr>
        <w:t>{</w:t>
      </w:r>
      <w:r w:rsidRPr="00A1476C">
        <w:rPr>
          <w:rFonts w:ascii="QCF_P029" w:hAnsi="QCF_P029" w:cs="QCF_P029"/>
          <w:color w:val="008000"/>
          <w:sz w:val="20"/>
          <w:szCs w:val="20"/>
          <w:rtl/>
        </w:rPr>
        <w:t>ﭽ ﭾ</w:t>
      </w:r>
      <w:r w:rsidRPr="00A1476C">
        <w:rPr>
          <w:rFonts w:ascii="QCF_P029" w:hAnsi="QCF_P029" w:cs="DecoType Thuluth"/>
          <w:color w:val="008000"/>
          <w:sz w:val="20"/>
          <w:szCs w:val="20"/>
          <w:rtl/>
        </w:rPr>
        <w:t>}</w:t>
      </w:r>
      <w:r w:rsidRPr="00A1476C">
        <w:rPr>
          <w:rFonts w:cs="AL-Hotham" w:hint="cs"/>
          <w:sz w:val="20"/>
          <w:szCs w:val="20"/>
          <w:rtl/>
        </w:rPr>
        <w:t xml:space="preserve"> </w:t>
      </w:r>
      <w:r w:rsidRPr="00A1476C">
        <w:rPr>
          <w:rFonts w:asciiTheme="majorBidi" w:hAnsiTheme="majorBidi" w:cstheme="majorBidi"/>
          <w:b/>
          <w:bCs/>
          <w:sz w:val="20"/>
          <w:szCs w:val="20"/>
          <w:rtl/>
        </w:rPr>
        <w:t xml:space="preserve">قد نزلت، هناك حديث في البخاري في صحيحه، عن سهيل بن حزم: لما نزلت هذه الآية، ولم ينزل قوله: </w:t>
      </w:r>
      <w:r w:rsidRPr="00A1476C">
        <w:rPr>
          <w:rFonts w:cs="DecoType Thuluth" w:hint="cs"/>
          <w:color w:val="008000"/>
          <w:sz w:val="20"/>
          <w:szCs w:val="20"/>
          <w:rtl/>
        </w:rPr>
        <w:t>{</w:t>
      </w:r>
      <w:r w:rsidRPr="00A1476C">
        <w:rPr>
          <w:rFonts w:ascii="QCF_P029" w:hAnsi="QCF_P029" w:cs="QCF_P029"/>
          <w:color w:val="008000"/>
          <w:sz w:val="20"/>
          <w:szCs w:val="20"/>
          <w:rtl/>
        </w:rPr>
        <w:t>ﭽ ﭾ</w:t>
      </w:r>
      <w:r w:rsidRPr="00A1476C">
        <w:rPr>
          <w:rFonts w:ascii="QCF_P029" w:hAnsi="QCF_P029" w:cs="DecoType Thuluth"/>
          <w:color w:val="008000"/>
          <w:sz w:val="20"/>
          <w:szCs w:val="20"/>
          <w:rtl/>
        </w:rPr>
        <w:t>}</w:t>
      </w:r>
      <w:r w:rsidRPr="00A1476C">
        <w:rPr>
          <w:rFonts w:cs="AL-Hotham" w:hint="cs"/>
          <w:sz w:val="20"/>
          <w:szCs w:val="20"/>
          <w:rtl/>
        </w:rPr>
        <w:t xml:space="preserve"> </w:t>
      </w:r>
      <w:r w:rsidRPr="00A1476C">
        <w:rPr>
          <w:rFonts w:asciiTheme="majorBidi" w:hAnsiTheme="majorBidi" w:cstheme="majorBidi"/>
          <w:b/>
          <w:bCs/>
          <w:sz w:val="20"/>
          <w:szCs w:val="20"/>
          <w:rtl/>
        </w:rPr>
        <w:t xml:space="preserve">وكان رجال إذا أرادوا الصوم ربط أحدهم في رجليه الخيط الأبيضَ والخيط الأسود، ولا يزال يأكل حتى يتبين له رؤيتها؛ فأنزل الله -جل وعلا- بعد ذلك: </w:t>
      </w:r>
      <w:r w:rsidRPr="00A1476C">
        <w:rPr>
          <w:rFonts w:cs="DecoType Thuluth" w:hint="cs"/>
          <w:color w:val="008000"/>
          <w:sz w:val="20"/>
          <w:szCs w:val="20"/>
          <w:rtl/>
        </w:rPr>
        <w:t>{</w:t>
      </w:r>
      <w:r w:rsidRPr="00A1476C">
        <w:rPr>
          <w:rFonts w:ascii="QCF_P029" w:hAnsi="QCF_P029" w:cs="QCF_P029"/>
          <w:color w:val="008000"/>
          <w:sz w:val="20"/>
          <w:szCs w:val="20"/>
          <w:rtl/>
        </w:rPr>
        <w:t>ﭽ ﭾ</w:t>
      </w:r>
      <w:r w:rsidRPr="00A1476C">
        <w:rPr>
          <w:rFonts w:ascii="QCF_P029" w:hAnsi="QCF_P029" w:cs="DecoType Thuluth"/>
          <w:color w:val="008000"/>
          <w:sz w:val="20"/>
          <w:szCs w:val="20"/>
          <w:rtl/>
        </w:rPr>
        <w:t>}</w:t>
      </w:r>
      <w:r w:rsidRPr="00A1476C">
        <w:rPr>
          <w:rFonts w:cs="AL-Hotham" w:hint="cs"/>
          <w:sz w:val="20"/>
          <w:szCs w:val="20"/>
          <w:rtl/>
        </w:rPr>
        <w:t xml:space="preserve"> </w:t>
      </w:r>
      <w:r w:rsidRPr="00A1476C">
        <w:rPr>
          <w:rFonts w:asciiTheme="majorBidi" w:hAnsiTheme="majorBidi" w:cstheme="majorBidi"/>
          <w:b/>
          <w:bCs/>
          <w:sz w:val="20"/>
          <w:szCs w:val="20"/>
          <w:rtl/>
        </w:rPr>
        <w:t xml:space="preserve">فعلموا أنما المراد من الخيط الأبيض والخيط الأسود هو بياض النهار، وسواد الليل.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وهكذا بدأ التباس في الفهم، فدخل شيء من هذا الفهم في عصر نزول القرآن الكريم، هم لا يريدون هذا اللبس، ولا يقصد منهم، ولكنه وقع. </w:t>
      </w:r>
    </w:p>
    <w:p w:rsidR="00A1476C" w:rsidRPr="00A1476C" w:rsidRDefault="00A1476C" w:rsidP="00A1476C">
      <w:pPr>
        <w:pStyle w:val="a3"/>
        <w:bidi/>
        <w:spacing w:before="0" w:beforeAutospacing="0" w:after="120" w:afterAutospacing="0"/>
        <w:jc w:val="both"/>
        <w:rPr>
          <w:rFonts w:asciiTheme="majorBidi" w:hAnsiTheme="majorBidi" w:cstheme="majorBidi"/>
          <w:b/>
          <w:bCs/>
          <w:sz w:val="20"/>
          <w:szCs w:val="20"/>
        </w:rPr>
      </w:pPr>
      <w:r w:rsidRPr="00A1476C">
        <w:rPr>
          <w:rFonts w:asciiTheme="majorBidi" w:hAnsiTheme="majorBidi" w:cstheme="majorBidi"/>
          <w:b/>
          <w:bCs/>
          <w:sz w:val="20"/>
          <w:szCs w:val="20"/>
          <w:rtl/>
        </w:rPr>
        <w:t xml:space="preserve">كذلك لما نزل قول الله -جل وعلا-: </w:t>
      </w:r>
      <w:r w:rsidRPr="00A1476C">
        <w:rPr>
          <w:rFonts w:ascii="Tahoma" w:hAnsi="Tahoma" w:cs="DecoType Thuluth" w:hint="cs"/>
          <w:color w:val="008000"/>
          <w:sz w:val="20"/>
          <w:szCs w:val="20"/>
          <w:rtl/>
        </w:rPr>
        <w:t>{</w:t>
      </w:r>
      <w:r w:rsidRPr="00A1476C">
        <w:rPr>
          <w:rFonts w:ascii="QCF_P123" w:hAnsi="QCF_P123" w:cs="QCF_P123"/>
          <w:color w:val="008000"/>
          <w:sz w:val="20"/>
          <w:szCs w:val="20"/>
          <w:rtl/>
        </w:rPr>
        <w:t>ﮆ ﮇ ﮈ ﮉ ﮊ ﮋ ﮌ ﮍ ﮎ ﮏ ﮐ ﮑ ﮒ ﮓ ﮔ ﮕ ﮖ ﮗ ﮘ ﮙ ﮚ</w:t>
      </w:r>
      <w:r w:rsidRPr="00A1476C">
        <w:rPr>
          <w:rFonts w:ascii="QCF_P123" w:hAnsi="QCF_P123"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[المائدة: 93] كان هناك موقف لبعض الصحابة، سنعرفه.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كذلك: </w:t>
      </w:r>
      <w:r w:rsidRPr="00A1476C">
        <w:rPr>
          <w:rFonts w:ascii="Tahoma" w:hAnsi="Tahoma" w:cs="DecoType Thuluth" w:hint="cs"/>
          <w:color w:val="008000"/>
          <w:sz w:val="20"/>
          <w:szCs w:val="20"/>
          <w:rtl/>
        </w:rPr>
        <w:t>{</w:t>
      </w:r>
      <w:r w:rsidRPr="00A1476C">
        <w:rPr>
          <w:rFonts w:ascii="QCF_P138" w:hAnsi="QCF_P138" w:cs="QCF_P138"/>
          <w:color w:val="008000"/>
          <w:sz w:val="20"/>
          <w:szCs w:val="20"/>
          <w:rtl/>
        </w:rPr>
        <w:t>ﭑ ﭒ ﭓ ﭔ ﭕ ﭖ</w:t>
      </w:r>
      <w:r w:rsidRPr="00A1476C">
        <w:rPr>
          <w:rFonts w:ascii="QCF_P138" w:hAnsi="QCF_P138"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 xml:space="preserve">[الأنعام: 82] بعض الصحابة بكى، وفهم أن الظلم هو أي ظلم ولو كان قليلًا، والآية تحذر، فإذا لبس الإنسان إيمانه -أي: خلط إيمانه- بشيء من الظلم لم يكن في مأمن، وقع هذا اللبس، فبينه لهم رسول الله </w:t>
      </w:r>
      <w:r w:rsidRPr="00A1476C">
        <w:rPr>
          <w:rFonts w:asciiTheme="majorBidi" w:hAnsiTheme="majorBidi" w:cstheme="majorBidi"/>
          <w:b/>
          <w:bCs/>
          <w:position w:val="-4"/>
          <w:sz w:val="20"/>
          <w:szCs w:val="20"/>
        </w:rPr>
        <w:t></w:t>
      </w:r>
      <w:r w:rsidRPr="00A1476C">
        <w:rPr>
          <w:rFonts w:asciiTheme="majorBidi" w:hAnsiTheme="majorBidi" w:cstheme="majorBidi"/>
          <w:b/>
          <w:bCs/>
          <w:sz w:val="20"/>
          <w:szCs w:val="20"/>
          <w:rtl/>
        </w:rPr>
        <w:t>.</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lastRenderedPageBreak/>
        <w:t xml:space="preserve">أما الآية: </w:t>
      </w:r>
      <w:r w:rsidRPr="00A1476C">
        <w:rPr>
          <w:rFonts w:ascii="Tahoma" w:hAnsi="Tahoma" w:cs="DecoType Thuluth" w:hint="cs"/>
          <w:color w:val="008000"/>
          <w:sz w:val="20"/>
          <w:szCs w:val="20"/>
          <w:rtl/>
        </w:rPr>
        <w:t>{</w:t>
      </w:r>
      <w:r w:rsidRPr="00A1476C">
        <w:rPr>
          <w:rFonts w:ascii="QCF_P123" w:hAnsi="QCF_P123" w:cs="QCF_P123"/>
          <w:color w:val="008000"/>
          <w:sz w:val="20"/>
          <w:szCs w:val="20"/>
          <w:rtl/>
        </w:rPr>
        <w:t>ﮆ ﮇ ﮈ ﮉ ﮊ ﮋ ﮌ ﮍ ﮎ ﮏ ﮐ ﮑ ﮒ ﮓ ﮔ</w:t>
      </w:r>
      <w:r w:rsidRPr="00A1476C">
        <w:rPr>
          <w:rFonts w:ascii="QCF_P123" w:hAnsi="QCF_P123" w:cs="DecoType Thuluth"/>
          <w:color w:val="008000"/>
          <w:sz w:val="20"/>
          <w:szCs w:val="20"/>
          <w:rtl/>
        </w:rPr>
        <w:t>}</w:t>
      </w:r>
      <w:r w:rsidRPr="00A1476C">
        <w:rPr>
          <w:rFonts w:cs="AL-Hotham" w:hint="cs"/>
          <w:sz w:val="20"/>
          <w:szCs w:val="20"/>
          <w:rtl/>
        </w:rPr>
        <w:t xml:space="preserve"> </w:t>
      </w:r>
      <w:r w:rsidRPr="00A1476C">
        <w:rPr>
          <w:rFonts w:asciiTheme="majorBidi" w:hAnsiTheme="majorBidi" w:cstheme="majorBidi"/>
          <w:b/>
          <w:bCs/>
          <w:sz w:val="20"/>
          <w:szCs w:val="20"/>
          <w:rtl/>
        </w:rPr>
        <w:t xml:space="preserve">الآية. فقد أخرج عبد الرزاق في مصنفه، ونقله عنه الحافظ بن حجر في (الإصابة في تمييز الصحابة) أن أحد الصحابة تأول هذه الآية، وهو قُدامة بن مظعون، أخو عثمان بن مظعون فشرب الخمر، وزعم أنه لا حرجَ في شربها إذا كان الإنسان مؤمنًا تقيًّا، فلما علم عمر بذلك رد عليه، وبين له الفهم الصحيح للآية وقال له: "يا قدامة أخطأت التأويل، أنت إذا اتقيت الله اجتنبت ما حرم الله". وأصر عمر على جلده بعد ثبوت سكره بالشهود، رغم أن قدامة بن مظعون، هو خال أولاد عمر، خال حفصة، وخال عبد الله بن عمر.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والحديث مروي بسنده وروايته، وينتهي في آخر المطاف حتى لا نطيل الكلام، إلى أن عمر أقام عليه الحد، وغضب كل منهما من الآخر، عمر غضب على قدامة لفهمه السقيم، وقدامة كان غاضبًا حتى إنهم لما حج قدامة في بعض الأعوام تقابل مع عمر، وكان كل منهم غاضبًا من الآخر، عمر غضب؛ لأنه تأول تأولًا خطئًا، فقام عمر واستدعاه، فأبى قدامة أن يأتي، فأمر عمر أن يحضروه، فكلمه واستغفر له؛ لأن هذا تأويل غير صحيح.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تعالوا بنا بعد ذلك أيام علي بن أبي طالب </w:t>
      </w:r>
      <w:r w:rsidRPr="00A1476C">
        <w:rPr>
          <w:rFonts w:asciiTheme="majorBidi" w:hAnsiTheme="majorBidi" w:cstheme="majorBidi"/>
          <w:b/>
          <w:bCs/>
          <w:position w:val="-4"/>
          <w:sz w:val="20"/>
          <w:szCs w:val="20"/>
          <w:rtl/>
        </w:rPr>
        <w:t>&gt;</w:t>
      </w:r>
      <w:r w:rsidRPr="00A1476C">
        <w:rPr>
          <w:rFonts w:asciiTheme="majorBidi" w:hAnsiTheme="majorBidi" w:cstheme="majorBidi"/>
          <w:b/>
          <w:bCs/>
          <w:sz w:val="20"/>
          <w:szCs w:val="20"/>
          <w:rtl/>
        </w:rPr>
        <w:t xml:space="preserve"> حدث ما لا تتوقعه الأمة، حدثت فتنة التحكيم، التي على أثرها حدثت اختلافات بين المسلمين، نعلم أن عليَّ بن أبي طالب </w:t>
      </w:r>
      <w:r w:rsidRPr="00A1476C">
        <w:rPr>
          <w:rFonts w:asciiTheme="majorBidi" w:hAnsiTheme="majorBidi" w:cstheme="majorBidi"/>
          <w:b/>
          <w:bCs/>
          <w:position w:val="-4"/>
          <w:sz w:val="20"/>
          <w:szCs w:val="20"/>
          <w:rtl/>
        </w:rPr>
        <w:t>&gt;</w:t>
      </w:r>
      <w:r w:rsidRPr="00A1476C">
        <w:rPr>
          <w:rFonts w:asciiTheme="majorBidi" w:hAnsiTheme="majorBidi" w:cstheme="majorBidi"/>
          <w:b/>
          <w:bCs/>
          <w:sz w:val="20"/>
          <w:szCs w:val="20"/>
          <w:rtl/>
        </w:rPr>
        <w:t xml:space="preserve"> كان هو الأرجح لأن يكون أمير المؤمنين بعد عثمان، وحدثت فتنة التحكيم، وافترق المسلمون على أثرها كما نقرأ في السيرة والتاريخ- افترقوا إلى شيع وأحزاب. ظهر على الساحة فرقة الخوارج الذين خرجوا على علي، كما ظهرت فرقة الشيعة، والمرجئة، والقدرية، والمعتزلة، وكل من هذه الفرق أراد أن يفسر القرآن الكريم على هواه، بحيث يخدم التفسير المبادئ التي يدعو إليها كل فريق، على الأقل لا تتصادم مع مبادئهم، فكانوا يجعلون المذهب أصلًا والتفسير فرعًا. </w:t>
      </w:r>
    </w:p>
    <w:p w:rsidR="00A1476C" w:rsidRPr="00A1476C" w:rsidRDefault="00A1476C" w:rsidP="00A1476C">
      <w:pPr>
        <w:pStyle w:val="a3"/>
        <w:bidi/>
        <w:spacing w:before="0" w:beforeAutospacing="0" w:after="120" w:afterAutospacing="0"/>
        <w:jc w:val="lowKashida"/>
        <w:rPr>
          <w:rFonts w:asciiTheme="majorBidi" w:hAnsiTheme="majorBidi" w:cstheme="majorBidi"/>
          <w:b/>
          <w:bCs/>
          <w:spacing w:val="-4"/>
          <w:sz w:val="20"/>
          <w:szCs w:val="20"/>
        </w:rPr>
      </w:pPr>
      <w:r w:rsidRPr="00A1476C">
        <w:rPr>
          <w:rFonts w:asciiTheme="majorBidi" w:hAnsiTheme="majorBidi" w:cstheme="majorBidi"/>
          <w:b/>
          <w:bCs/>
          <w:sz w:val="20"/>
          <w:szCs w:val="20"/>
          <w:rtl/>
        </w:rPr>
        <w:t xml:space="preserve">كما ظهر على الساحة جماعات من المتصوفين، ونحن لا نكره التصوف، نحن نحب التصوف المعتدل الذي يقوم على شُعب الإيمان: الزهد، الصبر، التوكل، الخوف، الرجاء، الورع، أما إذا كان التصوف شطحاتٍ ونطحاتٍ ومعانٍ باطلةً تخرج عن نصوص القرآن الكريم، وهذا هو الذي ظهر، ظهرت الفرقة الباطنية، وزعموا أن للقرآن ظاهرًا </w:t>
      </w:r>
      <w:r w:rsidRPr="00A1476C">
        <w:rPr>
          <w:rFonts w:asciiTheme="majorBidi" w:hAnsiTheme="majorBidi" w:cstheme="majorBidi"/>
          <w:b/>
          <w:bCs/>
          <w:spacing w:val="-4"/>
          <w:sz w:val="20"/>
          <w:szCs w:val="20"/>
          <w:rtl/>
        </w:rPr>
        <w:t xml:space="preserve">وباطنًا، وأن النص الظاهري هذا علم العوام، وأن العلم الباطني هو العلم الحقيقي اللدني، ووصلت بهم الشطحات أن فضلوا أتباعهم على الأنبياء، وكانوا يقولون: أنتم تتلقون علومكم عن البشر، ونحن نتلقى علومنا عن الله </w:t>
      </w:r>
      <w:r w:rsidRPr="00A1476C">
        <w:rPr>
          <w:rFonts w:asciiTheme="majorBidi" w:hAnsiTheme="majorBidi" w:cstheme="majorBidi"/>
          <w:b/>
          <w:bCs/>
          <w:spacing w:val="-4"/>
          <w:position w:val="-4"/>
          <w:sz w:val="20"/>
          <w:szCs w:val="20"/>
        </w:rPr>
        <w:t></w:t>
      </w:r>
      <w:r w:rsidRPr="00A1476C">
        <w:rPr>
          <w:rFonts w:asciiTheme="majorBidi" w:hAnsiTheme="majorBidi" w:cstheme="majorBidi"/>
          <w:b/>
          <w:bCs/>
          <w:spacing w:val="-4"/>
          <w:sz w:val="20"/>
          <w:szCs w:val="20"/>
          <w:rtl/>
        </w:rPr>
        <w:t xml:space="preserve">. كلام دخيل على الإسلام، ومدسوس على شريعة الله </w:t>
      </w:r>
      <w:r w:rsidRPr="00A1476C">
        <w:rPr>
          <w:rFonts w:asciiTheme="majorBidi" w:hAnsiTheme="majorBidi" w:cstheme="majorBidi"/>
          <w:b/>
          <w:bCs/>
          <w:spacing w:val="-4"/>
          <w:position w:val="-4"/>
          <w:sz w:val="20"/>
          <w:szCs w:val="20"/>
        </w:rPr>
        <w:t></w:t>
      </w:r>
      <w:r w:rsidRPr="00A1476C">
        <w:rPr>
          <w:rFonts w:asciiTheme="majorBidi" w:hAnsiTheme="majorBidi" w:cstheme="majorBidi"/>
          <w:b/>
          <w:bCs/>
          <w:spacing w:val="-4"/>
          <w:sz w:val="20"/>
          <w:szCs w:val="20"/>
          <w:rtl/>
        </w:rPr>
        <w:t xml:space="preserve">.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أرادوا بذلك أن يتحللوا ويتخلصوا من شريعة الإسلام، وأن يقضوا على تفسير القرآن التفسير الصحيح، فمالوا بذلك إلى تفاسير فاسدة، وفرقة الباطنية هذه اتسع أتباعها، وتلونت في كل وقتٍ ومكانٍ حتى نرى منها فرق: البابية، والبهائية، والقاديانية، كما وجدنا فرقًَا تتلون بأسماء مستحدثة في عالمنا الذي نعيشه.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كل هؤلاء، أقوالهم، تفسيرهم، اجتهاداتهم، كلها تعتبر دخيلًا على تفسير القرآن الكريم.</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وأخيرًا نقول: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t xml:space="preserve">إن هناك نوعًا آخرَ ظهر على أيدي بعض العلماء، أو أرادوا يوفقوا بين نصوص القرآن وبين النظريات العلمية واكتشافات العلم الحديث، كلما ظهرت نظرية أو كلما وجدوا إعجازًا علميًّا قالوا: إن القرآن تحدَّث عنه، ودعا إليه، وحملوا آيات القرآن ما لا تحتمل، فهؤلاء تحت زعم الإعجاز العلمي للقرآن ظهر في توفيقهم للآيات كثير من التعسف، كثير من تحميل القرآن ما لا يتحمله، فهذا لون من ألوان الدخيل في تفسير القرآن الكريم. </w:t>
      </w:r>
    </w:p>
    <w:p w:rsidR="00A1476C" w:rsidRPr="00A1476C" w:rsidRDefault="00A1476C" w:rsidP="00A1476C">
      <w:pPr>
        <w:pStyle w:val="a3"/>
        <w:bidi/>
        <w:spacing w:before="0" w:beforeAutospacing="0" w:after="120" w:afterAutospacing="0"/>
        <w:jc w:val="lowKashida"/>
        <w:rPr>
          <w:rFonts w:asciiTheme="majorBidi" w:hAnsiTheme="majorBidi" w:cstheme="majorBidi"/>
          <w:b/>
          <w:bCs/>
          <w:sz w:val="20"/>
          <w:szCs w:val="20"/>
        </w:rPr>
      </w:pPr>
      <w:r w:rsidRPr="00A1476C">
        <w:rPr>
          <w:rFonts w:asciiTheme="majorBidi" w:hAnsiTheme="majorBidi" w:cstheme="majorBidi"/>
          <w:b/>
          <w:bCs/>
          <w:sz w:val="20"/>
          <w:szCs w:val="20"/>
          <w:rtl/>
        </w:rPr>
        <w:lastRenderedPageBreak/>
        <w:t xml:space="preserve">بعد هذا اتسع نطاق هذه الفِرق، كثر أتباعها، زاد تعصبها، حتى إننا أصبحنا نجد هذه الفرق بأتباعها وتابعيها تشمِّر عن سواعدها، وتسخر كل طاقاتها، سواء المشركون، سواء الأحقاد من الفرق الضالة، أو سواء من الصوفية أو سواء من الذين زعموا معرفة النظريات العلمية، وجدنا الكل يسخر طاقاته للقضاء على المسلمين، وتشكيك المسلمين في قرآن ربهم، والتشويش عليه، مثلما اتجه الكفار وحرصوا أشد الحرص عند نزول القرآن الكريم على أن يصرفوا عنه الناسَ، كما حكى عنهم القرآن الكريم: </w:t>
      </w:r>
      <w:r w:rsidRPr="00A1476C">
        <w:rPr>
          <w:rFonts w:ascii="Tahoma" w:hAnsi="Tahoma" w:cs="DecoType Thuluth" w:hint="cs"/>
          <w:color w:val="008000"/>
          <w:sz w:val="20"/>
          <w:szCs w:val="20"/>
          <w:rtl/>
        </w:rPr>
        <w:t>{</w:t>
      </w:r>
      <w:r w:rsidRPr="00A1476C">
        <w:rPr>
          <w:rFonts w:ascii="QCF_P479" w:hAnsi="QCF_P479" w:cs="QCF_P479"/>
          <w:color w:val="008000"/>
          <w:sz w:val="20"/>
          <w:szCs w:val="20"/>
          <w:rtl/>
        </w:rPr>
        <w:t>ﮭ ﮮ ﮯ ﮰ ﮱ ﯓ ﯔ ﯕ ﯖ ﯗ ﯘ</w:t>
      </w:r>
      <w:r w:rsidRPr="00A1476C">
        <w:rPr>
          <w:rFonts w:ascii="QCF_P479" w:hAnsi="QCF_P479" w:cs="DecoType Thuluth"/>
          <w:color w:val="008000"/>
          <w:sz w:val="20"/>
          <w:szCs w:val="20"/>
          <w:rtl/>
        </w:rPr>
        <w:t>}</w:t>
      </w:r>
      <w:r w:rsidRPr="00A1476C">
        <w:rPr>
          <w:rFonts w:ascii="Tahoma" w:hAnsi="Tahoma" w:cs="AL-Hotham" w:hint="cs"/>
          <w:color w:val="008000"/>
          <w:sz w:val="20"/>
          <w:szCs w:val="20"/>
          <w:rtl/>
        </w:rPr>
        <w:t xml:space="preserve"> </w:t>
      </w:r>
      <w:r w:rsidRPr="00A1476C">
        <w:rPr>
          <w:rFonts w:ascii="Tahoma" w:hAnsi="Tahoma" w:cs="AL-Hotham" w:hint="cs"/>
          <w:sz w:val="20"/>
          <w:szCs w:val="20"/>
          <w:rtl/>
        </w:rPr>
        <w:t>[</w:t>
      </w:r>
      <w:r w:rsidRPr="00A1476C">
        <w:rPr>
          <w:rFonts w:asciiTheme="majorBidi" w:hAnsiTheme="majorBidi" w:cstheme="majorBidi"/>
          <w:b/>
          <w:bCs/>
          <w:sz w:val="20"/>
          <w:szCs w:val="20"/>
          <w:rtl/>
        </w:rPr>
        <w:t xml:space="preserve"> [فصلت: 26]. </w:t>
      </w:r>
    </w:p>
    <w:p w:rsidR="00A1476C" w:rsidRPr="00A1476C" w:rsidRDefault="00A1476C" w:rsidP="00A1476C">
      <w:pPr>
        <w:spacing w:line="240" w:lineRule="auto"/>
        <w:rPr>
          <w:rFonts w:asciiTheme="majorBidi" w:hAnsiTheme="majorBidi" w:cstheme="majorBidi"/>
          <w:b/>
          <w:bCs/>
          <w:i/>
          <w:iCs/>
          <w:sz w:val="20"/>
          <w:szCs w:val="20"/>
          <w:rtl/>
        </w:rPr>
      </w:pPr>
      <w:r w:rsidRPr="00A1476C">
        <w:rPr>
          <w:rFonts w:asciiTheme="majorBidi" w:hAnsiTheme="majorBidi" w:cstheme="majorBidi"/>
          <w:b/>
          <w:bCs/>
          <w:sz w:val="20"/>
          <w:szCs w:val="20"/>
          <w:rtl/>
        </w:rPr>
        <w:t xml:space="preserve">لم تتوقف حملات هؤلاء الأعداء عند القرون الأولى للإسلام، بل تنوعت طوائفهم، وتجددت أساليبهم، وكثرت انحرافاتهم وتأويلاتهم حتى ظهر على الساحة أنواع من الدخيل، والأباطيل سرت إلى كتب التفسير، يا ترى هل هذا الفساد سيبقى وتنتشر فروعه وألوانه؟! إن الله سبحانه يقيض لهذا الدين مَن يدفع عنه كيد الكائدين، وتأويل المبطلين، وانتحال الغالين، كما وعد ربنا سبحانه: </w:t>
      </w:r>
      <w:r w:rsidRPr="00A1476C">
        <w:rPr>
          <w:rFonts w:ascii="Tahoma" w:hAnsi="Tahoma" w:cs="DecoType Thuluth" w:hint="cs"/>
          <w:color w:val="008000"/>
          <w:sz w:val="20"/>
          <w:szCs w:val="20"/>
          <w:rtl/>
        </w:rPr>
        <w:t>{</w:t>
      </w:r>
      <w:r w:rsidRPr="00A1476C">
        <w:rPr>
          <w:rFonts w:ascii="QCF_P552" w:hAnsi="QCF_P552" w:cs="QCF_P552"/>
          <w:color w:val="008000"/>
          <w:sz w:val="20"/>
          <w:szCs w:val="20"/>
          <w:rtl/>
        </w:rPr>
        <w:t>ﮄ ﮅ ﮆ ﮇ ﮈ ﮉ ﮊ ﮋ ﮌ ﮍ ﮎ</w:t>
      </w:r>
      <w:r w:rsidRPr="00A1476C">
        <w:rPr>
          <w:rFonts w:ascii="QCF_P552" w:hAnsi="QCF_P552" w:cs="DecoType Thuluth"/>
          <w:color w:val="008000"/>
          <w:sz w:val="20"/>
          <w:szCs w:val="20"/>
          <w:rtl/>
        </w:rPr>
        <w:t>}</w:t>
      </w:r>
      <w:r w:rsidRPr="00A1476C">
        <w:rPr>
          <w:rFonts w:ascii="Tahoma" w:hAnsi="Tahoma" w:cs="AL-Hotham" w:hint="cs"/>
          <w:color w:val="008000"/>
          <w:sz w:val="20"/>
          <w:szCs w:val="20"/>
          <w:rtl/>
        </w:rPr>
        <w:t xml:space="preserve"> </w:t>
      </w:r>
      <w:r w:rsidRPr="00A1476C">
        <w:rPr>
          <w:rFonts w:asciiTheme="majorBidi" w:hAnsiTheme="majorBidi" w:cstheme="majorBidi"/>
          <w:b/>
          <w:bCs/>
          <w:sz w:val="20"/>
          <w:szCs w:val="20"/>
          <w:rtl/>
        </w:rPr>
        <w:t>[الصف: 8].</w:t>
      </w:r>
    </w:p>
    <w:p w:rsidR="00A1476C" w:rsidRPr="00A1476C" w:rsidRDefault="00A1476C" w:rsidP="00A1476C">
      <w:pPr>
        <w:spacing w:after="120" w:line="240" w:lineRule="auto"/>
        <w:jc w:val="center"/>
        <w:rPr>
          <w:rFonts w:asciiTheme="majorBidi" w:hAnsiTheme="majorBidi" w:cstheme="majorBidi"/>
          <w:b/>
          <w:bCs/>
          <w:sz w:val="20"/>
          <w:szCs w:val="20"/>
          <w:rtl/>
        </w:rPr>
      </w:pPr>
      <w:r w:rsidRPr="00A1476C">
        <w:rPr>
          <w:rFonts w:asciiTheme="majorBidi" w:hAnsiTheme="majorBidi" w:cstheme="majorBidi"/>
          <w:b/>
          <w:bCs/>
          <w:sz w:val="20"/>
          <w:szCs w:val="20"/>
          <w:rtl/>
        </w:rPr>
        <w:t>المصادر والمراجع</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tl/>
        </w:rPr>
      </w:pPr>
      <w:r w:rsidRPr="00A1476C">
        <w:rPr>
          <w:rFonts w:asciiTheme="majorBidi" w:hAnsiTheme="majorBidi" w:cstheme="majorBidi"/>
          <w:b/>
          <w:bCs/>
          <w:sz w:val="20"/>
          <w:szCs w:val="20"/>
          <w:rtl/>
        </w:rPr>
        <w:t>المحمدي عبد الرحمن، (الدخيل في التفسير) ، القاهرة،  جامعة الأزهر، مطبعة حسان، 2009م.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tl/>
        </w:rPr>
      </w:pPr>
      <w:r w:rsidRPr="00A1476C">
        <w:rPr>
          <w:rFonts w:asciiTheme="majorBidi" w:hAnsiTheme="majorBidi" w:cstheme="majorBidi"/>
          <w:b/>
          <w:bCs/>
          <w:sz w:val="20"/>
          <w:szCs w:val="20"/>
          <w:rtl/>
        </w:rPr>
        <w:t>الذهبي، محمد حسين الذهبي،  (التفسير والمفسرون) ، طبعة دار الأرقم، 1999م.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الذهبي، محمد حسين الذهبي،  (الإسرائيليات في التفسير والحديث) ، طبعة مكتبة وهبة، 1990م.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 xml:space="preserve">شليوه، سمير شليوه،  (الدخيل والإسرائيليات) ، القاهرة، جامعة الأزهر </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الشهرستاني، محمد بن عبد الكريم الشهرستاني،  (الملل والنحل) ، طبعة دار الفكر، 2001م.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محمد الخضر حسين، (البابية أو البهائية) ،مجمع البحوث الإسلامية</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tl/>
        </w:rPr>
      </w:pPr>
      <w:r w:rsidRPr="00A1476C">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A1476C" w:rsidRPr="00A1476C" w:rsidRDefault="00A1476C" w:rsidP="00A1476C">
      <w:pPr>
        <w:numPr>
          <w:ilvl w:val="0"/>
          <w:numId w:val="2"/>
        </w:numPr>
        <w:spacing w:after="120" w:line="240" w:lineRule="auto"/>
        <w:jc w:val="both"/>
        <w:rPr>
          <w:rFonts w:asciiTheme="majorBidi" w:hAnsiTheme="majorBidi" w:cstheme="majorBidi"/>
          <w:b/>
          <w:bCs/>
          <w:sz w:val="20"/>
          <w:szCs w:val="20"/>
        </w:rPr>
      </w:pPr>
      <w:r w:rsidRPr="00A1476C">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A1476C" w:rsidRPr="00A1476C" w:rsidRDefault="00A1476C" w:rsidP="00A1476C">
      <w:pPr>
        <w:rPr>
          <w:i/>
          <w:iCs/>
          <w:sz w:val="20"/>
          <w:szCs w:val="20"/>
          <w:rtl/>
        </w:rPr>
        <w:sectPr w:rsidR="00A1476C" w:rsidRPr="00A1476C" w:rsidSect="00A1476C">
          <w:type w:val="continuous"/>
          <w:pgSz w:w="11906" w:h="16838"/>
          <w:pgMar w:top="964" w:right="1021" w:bottom="964" w:left="1021" w:header="709" w:footer="709" w:gutter="0"/>
          <w:cols w:num="2" w:space="708"/>
          <w:bidi/>
          <w:rtlGutter/>
          <w:docGrid w:linePitch="360"/>
        </w:sectPr>
      </w:pPr>
    </w:p>
    <w:p w:rsidR="00A1476C" w:rsidRPr="00A1476C" w:rsidRDefault="00A1476C" w:rsidP="00A1476C">
      <w:pPr>
        <w:rPr>
          <w:i/>
          <w:iCs/>
          <w:sz w:val="20"/>
          <w:szCs w:val="20"/>
        </w:rPr>
      </w:pPr>
    </w:p>
    <w:sectPr w:rsidR="00A1476C" w:rsidRPr="00A1476C" w:rsidSect="00A1476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30">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498">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DecoType Naskh">
    <w:altName w:val="Courier New"/>
    <w:panose1 w:val="02010400000000000000"/>
    <w:charset w:val="B2"/>
    <w:family w:val="auto"/>
    <w:pitch w:val="variable"/>
    <w:sig w:usb0="00002001" w:usb1="00000000" w:usb2="00000000" w:usb3="00000000" w:csb0="00000040" w:csb1="00000000"/>
  </w:font>
  <w:font w:name="QCF_P448">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84A42F9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A1476C"/>
    <w:rsid w:val="0020729A"/>
    <w:rsid w:val="00514443"/>
    <w:rsid w:val="00661CBE"/>
    <w:rsid w:val="009556CB"/>
    <w:rsid w:val="00A1476C"/>
    <w:rsid w:val="00BD6104"/>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A1476C"/>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A1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1476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2013-06-19T08:29:00Z</dcterms:created>
  <dcterms:modified xsi:type="dcterms:W3CDTF">2013-06-26T08:38:00Z</dcterms:modified>
</cp:coreProperties>
</file>