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0198B" w:rsidP="001B3643">
      <w:pPr>
        <w:spacing w:line="240" w:lineRule="auto"/>
        <w:jc w:val="center"/>
        <w:rPr>
          <w:i/>
          <w:iCs/>
          <w:rtl/>
        </w:rPr>
      </w:pPr>
      <w:r w:rsidRPr="0070198B">
        <w:rPr>
          <w:rFonts w:asciiTheme="majorBidi" w:eastAsia="Calibri" w:hAnsiTheme="majorBidi" w:cstheme="majorBidi"/>
          <w:i/>
          <w:iCs/>
          <w:sz w:val="48"/>
          <w:szCs w:val="48"/>
          <w:rtl/>
        </w:rPr>
        <w:t>قصة موسى</w:t>
      </w:r>
      <w:r w:rsidR="001B3643">
        <w:rPr>
          <w:rFonts w:asciiTheme="majorBidi" w:eastAsia="Calibri" w:hAnsiTheme="majorBidi" w:cstheme="majorBidi" w:hint="cs"/>
          <w:i/>
          <w:iCs/>
          <w:sz w:val="48"/>
          <w:szCs w:val="48"/>
          <w:rtl/>
        </w:rPr>
        <w:t xml:space="preserve"> </w:t>
      </w:r>
      <w:r w:rsidRPr="0070198B">
        <w:rPr>
          <w:rFonts w:asciiTheme="majorBidi" w:eastAsia="Calibri" w:hAnsiTheme="majorBidi" w:cstheme="majorBidi"/>
          <w:i/>
          <w:iCs/>
          <w:sz w:val="48"/>
          <w:szCs w:val="48"/>
          <w:rtl/>
        </w:rPr>
        <w:t>مع بنات شعيب، وما ورد في تعيين أسمائهم</w:t>
      </w:r>
    </w:p>
    <w:p w:rsidR="0070198B" w:rsidRPr="009264EA" w:rsidRDefault="0070198B" w:rsidP="0070198B">
      <w:pPr>
        <w:pStyle w:val="papersubtitle"/>
        <w:bidi/>
        <w:rPr>
          <w:i/>
          <w:iCs/>
          <w:rtl/>
        </w:rPr>
      </w:pPr>
      <w:r w:rsidRPr="009264EA">
        <w:rPr>
          <w:i/>
          <w:iCs/>
          <w:rtl/>
        </w:rPr>
        <w:t xml:space="preserve">بحث  فى </w:t>
      </w:r>
      <w:r>
        <w:rPr>
          <w:rFonts w:hint="cs"/>
          <w:i/>
          <w:iCs/>
          <w:rtl/>
        </w:rPr>
        <w:t>الدخيل فى التفسير</w:t>
      </w:r>
    </w:p>
    <w:p w:rsidR="0070198B" w:rsidRPr="009264EA" w:rsidRDefault="0070198B" w:rsidP="00353941">
      <w:pPr>
        <w:pStyle w:val="papersubtitle"/>
        <w:bidi/>
        <w:rPr>
          <w:i/>
          <w:iCs/>
          <w:sz w:val="24"/>
          <w:szCs w:val="24"/>
          <w:lang w:bidi="ar-EG"/>
        </w:rPr>
      </w:pPr>
      <w:r w:rsidRPr="009264EA">
        <w:rPr>
          <w:i/>
          <w:iCs/>
          <w:sz w:val="24"/>
          <w:szCs w:val="24"/>
          <w:rtl/>
        </w:rPr>
        <w:t xml:space="preserve">إعداد أ/ </w:t>
      </w:r>
      <w:r w:rsidR="00353941" w:rsidRPr="00353941">
        <w:rPr>
          <w:i/>
          <w:iCs/>
          <w:sz w:val="22"/>
          <w:szCs w:val="22"/>
          <w:rtl/>
          <w:lang w:bidi="ar-EG"/>
        </w:rPr>
        <w:t>محمد سعد حسن</w:t>
      </w:r>
    </w:p>
    <w:p w:rsidR="0070198B" w:rsidRPr="009264EA" w:rsidRDefault="0070198B" w:rsidP="0070198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70198B" w:rsidRPr="009264EA" w:rsidRDefault="0070198B" w:rsidP="0070198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70198B" w:rsidRPr="009264EA" w:rsidRDefault="0070198B" w:rsidP="0070198B">
      <w:pPr>
        <w:pStyle w:val="papersubtitle"/>
        <w:bidi/>
        <w:rPr>
          <w:i/>
          <w:iCs/>
          <w:sz w:val="22"/>
          <w:szCs w:val="22"/>
          <w:rtl/>
        </w:rPr>
      </w:pPr>
      <w:r w:rsidRPr="009264EA">
        <w:rPr>
          <w:i/>
          <w:iCs/>
          <w:sz w:val="22"/>
          <w:szCs w:val="22"/>
          <w:rtl/>
        </w:rPr>
        <w:t>شاه علم – ماليزيا</w:t>
      </w:r>
    </w:p>
    <w:p w:rsidR="0070198B" w:rsidRDefault="00353941" w:rsidP="0070198B">
      <w:pPr>
        <w:spacing w:line="240" w:lineRule="auto"/>
        <w:jc w:val="center"/>
        <w:rPr>
          <w:rFonts w:ascii="Calibri" w:hAnsi="Calibri" w:cs="AL-Mateen"/>
          <w:sz w:val="32"/>
          <w:szCs w:val="32"/>
          <w:lang w:bidi="ar-EG"/>
        </w:rPr>
      </w:pPr>
      <w:r w:rsidRPr="00353941">
        <w:rPr>
          <w:rFonts w:asciiTheme="majorBidi" w:hAnsiTheme="majorBidi" w:cs="AL-Hotham"/>
          <w:i/>
          <w:iCs/>
          <w:lang w:bidi="ar-EG"/>
        </w:rPr>
        <w:t>mohamad.saad@mediu.ws</w:t>
      </w:r>
    </w:p>
    <w:p w:rsidR="0070198B" w:rsidRDefault="0070198B" w:rsidP="0070198B">
      <w:pPr>
        <w:spacing w:after="120" w:line="240" w:lineRule="auto"/>
        <w:rPr>
          <w:rFonts w:asciiTheme="majorBidi" w:hAnsiTheme="majorBidi" w:cstheme="majorBidi"/>
          <w:b/>
          <w:bCs/>
          <w:sz w:val="20"/>
          <w:szCs w:val="20"/>
          <w:rtl/>
        </w:rPr>
        <w:sectPr w:rsidR="0070198B" w:rsidSect="00BF7572">
          <w:pgSz w:w="11906" w:h="16838"/>
          <w:pgMar w:top="964" w:right="1021" w:bottom="964" w:left="1021" w:header="709" w:footer="709" w:gutter="0"/>
          <w:cols w:space="708"/>
          <w:bidi/>
          <w:rtlGutter/>
          <w:docGrid w:linePitch="360"/>
        </w:sectPr>
      </w:pPr>
    </w:p>
    <w:p w:rsidR="0070198B" w:rsidRPr="0070198B" w:rsidRDefault="0070198B" w:rsidP="0070198B">
      <w:pPr>
        <w:spacing w:after="120" w:line="240" w:lineRule="auto"/>
        <w:rPr>
          <w:rFonts w:asciiTheme="majorBidi" w:hAnsiTheme="majorBidi" w:cstheme="majorBidi"/>
          <w:b/>
          <w:bCs/>
          <w:sz w:val="20"/>
          <w:szCs w:val="20"/>
          <w:rtl/>
        </w:rPr>
      </w:pPr>
      <w:r w:rsidRPr="0070198B">
        <w:rPr>
          <w:rFonts w:asciiTheme="majorBidi" w:hAnsiTheme="majorBidi" w:cstheme="majorBidi"/>
          <w:b/>
          <w:bCs/>
          <w:sz w:val="20"/>
          <w:szCs w:val="20"/>
          <w:rtl/>
        </w:rPr>
        <w:lastRenderedPageBreak/>
        <w:t xml:space="preserve">خلاصة ـــ هذا البحث يبحث في </w:t>
      </w:r>
      <w:r w:rsidRPr="0070198B">
        <w:rPr>
          <w:rFonts w:asciiTheme="majorBidi" w:eastAsia="Calibri" w:hAnsiTheme="majorBidi" w:cstheme="majorBidi"/>
          <w:b/>
          <w:bCs/>
          <w:sz w:val="20"/>
          <w:szCs w:val="20"/>
          <w:rtl/>
        </w:rPr>
        <w:t xml:space="preserve">قصة موسى </w:t>
      </w:r>
      <w:r w:rsidRPr="0070198B">
        <w:rPr>
          <w:rFonts w:asciiTheme="majorBidi" w:eastAsia="Calibri" w:hAnsiTheme="majorBidi" w:cstheme="majorBidi"/>
          <w:b/>
          <w:bCs/>
          <w:position w:val="-4"/>
          <w:sz w:val="20"/>
          <w:szCs w:val="20"/>
          <w:rtl/>
        </w:rPr>
        <w:t>#</w:t>
      </w:r>
      <w:r w:rsidRPr="0070198B">
        <w:rPr>
          <w:rFonts w:asciiTheme="majorBidi" w:eastAsia="Calibri" w:hAnsiTheme="majorBidi" w:cstheme="majorBidi"/>
          <w:b/>
          <w:bCs/>
          <w:sz w:val="20"/>
          <w:szCs w:val="20"/>
          <w:rtl/>
        </w:rPr>
        <w:t xml:space="preserve"> مع بنات شعيب، وما ورد في تعيين أسمائهم</w:t>
      </w:r>
    </w:p>
    <w:p w:rsidR="0070198B" w:rsidRPr="0070198B" w:rsidRDefault="0070198B" w:rsidP="0070198B">
      <w:pPr>
        <w:spacing w:after="120" w:line="240" w:lineRule="auto"/>
        <w:rPr>
          <w:rFonts w:asciiTheme="majorBidi" w:hAnsiTheme="majorBidi" w:cstheme="majorBidi"/>
          <w:b/>
          <w:bCs/>
          <w:sz w:val="20"/>
          <w:szCs w:val="20"/>
          <w:rtl/>
          <w:lang w:bidi="ar-EG"/>
        </w:rPr>
      </w:pPr>
      <w:r w:rsidRPr="0070198B">
        <w:rPr>
          <w:rFonts w:asciiTheme="majorBidi" w:hAnsiTheme="majorBidi" w:cstheme="majorBidi"/>
          <w:b/>
          <w:bCs/>
          <w:sz w:val="20"/>
          <w:szCs w:val="20"/>
          <w:rtl/>
        </w:rPr>
        <w:t xml:space="preserve">الكلمات المفتاحية : قصص ، القرآن ، الأنبياء </w:t>
      </w:r>
    </w:p>
    <w:p w:rsidR="0070198B" w:rsidRPr="0070198B" w:rsidRDefault="0070198B" w:rsidP="0070198B">
      <w:pPr>
        <w:pStyle w:val="ListParagraph"/>
        <w:numPr>
          <w:ilvl w:val="0"/>
          <w:numId w:val="1"/>
        </w:numPr>
        <w:spacing w:after="120"/>
        <w:jc w:val="center"/>
        <w:rPr>
          <w:rFonts w:asciiTheme="majorBidi" w:hAnsiTheme="majorBidi" w:cstheme="majorBidi"/>
          <w:b/>
          <w:bCs/>
          <w:sz w:val="20"/>
          <w:szCs w:val="20"/>
          <w:rtl/>
        </w:rPr>
      </w:pPr>
      <w:r w:rsidRPr="0070198B">
        <w:rPr>
          <w:rFonts w:asciiTheme="majorBidi" w:hAnsiTheme="majorBidi" w:cstheme="majorBidi"/>
          <w:b/>
          <w:bCs/>
          <w:sz w:val="20"/>
          <w:szCs w:val="20"/>
          <w:rtl/>
        </w:rPr>
        <w:t>المقدمة</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tl/>
        </w:rPr>
      </w:pPr>
      <w:r w:rsidRPr="0070198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0198B">
        <w:rPr>
          <w:rFonts w:asciiTheme="majorBidi" w:eastAsia="Calibri" w:hAnsiTheme="majorBidi" w:cstheme="majorBidi"/>
          <w:b/>
          <w:bCs/>
          <w:sz w:val="20"/>
          <w:szCs w:val="20"/>
          <w:rtl/>
        </w:rPr>
        <w:t xml:space="preserve">قصة موسى </w:t>
      </w:r>
      <w:r w:rsidRPr="0070198B">
        <w:rPr>
          <w:rFonts w:asciiTheme="majorBidi" w:eastAsia="Calibri" w:hAnsiTheme="majorBidi" w:cstheme="majorBidi"/>
          <w:b/>
          <w:bCs/>
          <w:position w:val="-4"/>
          <w:sz w:val="20"/>
          <w:szCs w:val="20"/>
          <w:rtl/>
        </w:rPr>
        <w:t>#</w:t>
      </w:r>
      <w:r w:rsidRPr="0070198B">
        <w:rPr>
          <w:rFonts w:asciiTheme="majorBidi" w:eastAsia="Calibri" w:hAnsiTheme="majorBidi" w:cstheme="majorBidi"/>
          <w:b/>
          <w:bCs/>
          <w:sz w:val="20"/>
          <w:szCs w:val="20"/>
          <w:rtl/>
        </w:rPr>
        <w:t xml:space="preserve"> مع بنات شعيب، وما ورد في تعيين أسمائهم</w:t>
      </w:r>
    </w:p>
    <w:p w:rsidR="0070198B" w:rsidRPr="0070198B" w:rsidRDefault="0070198B" w:rsidP="0070198B">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0198B">
        <w:rPr>
          <w:rFonts w:asciiTheme="majorBidi" w:hAnsiTheme="majorBidi" w:cstheme="majorBidi"/>
          <w:b/>
          <w:bCs/>
          <w:sz w:val="20"/>
          <w:szCs w:val="20"/>
          <w:rtl/>
        </w:rPr>
        <w:t>عنوان المقال</w:t>
      </w:r>
    </w:p>
    <w:p w:rsidR="0070198B" w:rsidRPr="0070198B" w:rsidRDefault="0070198B" w:rsidP="0070198B">
      <w:pPr>
        <w:pStyle w:val="NormalWeb"/>
        <w:bidi/>
        <w:spacing w:before="0" w:beforeAutospacing="0" w:after="120" w:afterAutospacing="0"/>
        <w:jc w:val="both"/>
        <w:rPr>
          <w:rFonts w:asciiTheme="majorBidi" w:hAnsiTheme="majorBidi" w:cstheme="majorBidi"/>
          <w:b/>
          <w:bCs/>
          <w:sz w:val="20"/>
          <w:szCs w:val="20"/>
        </w:rPr>
      </w:pPr>
      <w:r w:rsidRPr="0070198B">
        <w:rPr>
          <w:rFonts w:asciiTheme="majorBidi" w:hAnsiTheme="majorBidi" w:cstheme="majorBidi"/>
          <w:b/>
          <w:bCs/>
          <w:sz w:val="20"/>
          <w:szCs w:val="20"/>
          <w:rtl/>
        </w:rPr>
        <w:t xml:space="preserve">إن في قصص موسى في القرآن دروسًا وعبرًا كثيرةً، كما أن كتب التفسير حوت كثيرًا من الإسرائيليات لا بد من بيانها لا سيما أن موسى هو أكثر الأنبياء ذِكرًا في القرآن الكريم، وهو بهذا له مواقف كثيرة كثيرة، وكل موقف له فيها منهج دعوة ومنهج هداية، والقرآن الكريم إنما يذكر ذلك لأمة الإسلام؛ لنأخذ منها العظة والعبرة، كما قال ربنا: </w:t>
      </w:r>
      <w:r w:rsidRPr="0070198B">
        <w:rPr>
          <w:rFonts w:cs="DecoType Thuluth" w:hint="cs"/>
          <w:color w:val="008000"/>
          <w:sz w:val="20"/>
          <w:szCs w:val="20"/>
          <w:rtl/>
        </w:rPr>
        <w:t>{</w:t>
      </w:r>
      <w:r w:rsidRPr="0070198B">
        <w:rPr>
          <w:rFonts w:ascii="QCF_P248" w:hAnsi="QCF_P248" w:cs="QCF_P248"/>
          <w:color w:val="008000"/>
          <w:sz w:val="20"/>
          <w:szCs w:val="20"/>
          <w:rtl/>
        </w:rPr>
        <w:t>ﯫ ﯬ ﯭ ﯮ ﯯ ﯰ ﯱ ﯲ ﯳ ﯴ ﯵ ﯶ ﯷ ﯸ ﯹ ﯺ ﯻ ﯼ ﯽ ﯾ ﯿ ﰀ ﰁ ﰂ</w:t>
      </w:r>
      <w:r w:rsidRPr="0070198B">
        <w:rPr>
          <w:rFonts w:ascii="QCF_P248" w:hAnsi="QCF_P248" w:cs="DecoType Thuluth"/>
          <w:color w:val="008000"/>
          <w:sz w:val="20"/>
          <w:szCs w:val="20"/>
          <w:rtl/>
        </w:rPr>
        <w:t>}</w:t>
      </w:r>
      <w:r w:rsidRPr="0070198B">
        <w:rPr>
          <w:rFonts w:cs="AL-Hotham" w:hint="cs"/>
          <w:color w:val="008000"/>
          <w:sz w:val="20"/>
          <w:szCs w:val="20"/>
          <w:rtl/>
        </w:rPr>
        <w:t xml:space="preserve"> </w:t>
      </w:r>
      <w:r w:rsidRPr="0070198B">
        <w:rPr>
          <w:rFonts w:asciiTheme="majorBidi" w:hAnsiTheme="majorBidi" w:cstheme="majorBidi"/>
          <w:b/>
          <w:bCs/>
          <w:sz w:val="20"/>
          <w:szCs w:val="20"/>
          <w:rtl/>
        </w:rPr>
        <w:t xml:space="preserve">[يوسف: 111].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من المواقف التي وردت في شأن موسى وفيها دروس وعظات، كما أن فيها أيضًا كثيرًا من الإسرائيليات في التفسير، العظات والدروس من الآيات، لكن التفسير ما خلا من الإسرائيليات. </w:t>
      </w:r>
    </w:p>
    <w:p w:rsidR="0070198B" w:rsidRPr="0070198B" w:rsidRDefault="0070198B" w:rsidP="0070198B">
      <w:pPr>
        <w:pStyle w:val="NormalWeb"/>
        <w:bidi/>
        <w:jc w:val="lowKashida"/>
        <w:rPr>
          <w:rFonts w:asciiTheme="majorBidi" w:hAnsiTheme="majorBidi" w:cstheme="majorBidi"/>
          <w:b/>
          <w:bCs/>
          <w:color w:val="000080"/>
          <w:sz w:val="20"/>
          <w:szCs w:val="20"/>
          <w:lang w:bidi="ar-EG"/>
        </w:rPr>
      </w:pPr>
      <w:r w:rsidRPr="0070198B">
        <w:rPr>
          <w:rFonts w:asciiTheme="majorBidi" w:hAnsiTheme="majorBidi" w:cstheme="majorBidi"/>
          <w:b/>
          <w:bCs/>
          <w:color w:val="000080"/>
          <w:sz w:val="20"/>
          <w:szCs w:val="20"/>
          <w:rtl/>
          <w:lang w:bidi="ar-EG"/>
        </w:rPr>
        <w:t xml:space="preserve">قصة موسى </w:t>
      </w:r>
      <w:r w:rsidRPr="0070198B">
        <w:rPr>
          <w:rFonts w:asciiTheme="majorBidi" w:hAnsiTheme="majorBidi" w:cstheme="majorBidi"/>
          <w:b/>
          <w:bCs/>
          <w:color w:val="000080"/>
          <w:position w:val="-4"/>
          <w:sz w:val="20"/>
          <w:szCs w:val="20"/>
          <w:rtl/>
          <w:lang w:bidi="ar-EG"/>
        </w:rPr>
        <w:t>#</w:t>
      </w:r>
      <w:r w:rsidRPr="0070198B">
        <w:rPr>
          <w:rFonts w:asciiTheme="majorBidi" w:hAnsiTheme="majorBidi" w:cstheme="majorBidi"/>
          <w:b/>
          <w:bCs/>
          <w:color w:val="000080"/>
          <w:sz w:val="20"/>
          <w:szCs w:val="20"/>
          <w:rtl/>
          <w:lang w:bidi="ar-EG"/>
        </w:rPr>
        <w:t xml:space="preserve"> مع بنات شعيب: </w:t>
      </w:r>
    </w:p>
    <w:p w:rsidR="0070198B" w:rsidRPr="0070198B" w:rsidRDefault="0070198B" w:rsidP="0070198B">
      <w:pPr>
        <w:pStyle w:val="NormalWeb"/>
        <w:bidi/>
        <w:spacing w:before="0" w:beforeAutospacing="0" w:after="120" w:afterAutospacing="0"/>
        <w:jc w:val="both"/>
        <w:rPr>
          <w:rFonts w:asciiTheme="majorBidi" w:hAnsiTheme="majorBidi" w:cstheme="majorBidi"/>
          <w:b/>
          <w:bCs/>
          <w:sz w:val="20"/>
          <w:szCs w:val="20"/>
        </w:rPr>
      </w:pPr>
      <w:r w:rsidRPr="0070198B">
        <w:rPr>
          <w:rFonts w:asciiTheme="majorBidi" w:hAnsiTheme="majorBidi" w:cstheme="majorBidi"/>
          <w:b/>
          <w:bCs/>
          <w:sz w:val="20"/>
          <w:szCs w:val="20"/>
          <w:rtl/>
        </w:rPr>
        <w:t xml:space="preserve">الآيات في هذا هي قول الله -جل وعلا-: </w:t>
      </w:r>
      <w:r w:rsidRPr="0070198B">
        <w:rPr>
          <w:rFonts w:cs="DecoType Thuluth" w:hint="cs"/>
          <w:color w:val="008000"/>
          <w:sz w:val="20"/>
          <w:szCs w:val="20"/>
          <w:rtl/>
        </w:rPr>
        <w:t>{</w:t>
      </w:r>
      <w:r w:rsidRPr="0070198B">
        <w:rPr>
          <w:rFonts w:ascii="QCF_P388" w:hAnsi="QCF_P388" w:cs="QCF_P388"/>
          <w:color w:val="008000"/>
          <w:sz w:val="20"/>
          <w:szCs w:val="20"/>
          <w:rtl/>
        </w:rPr>
        <w:t>ﮌ ﮍ ﮎ ﮏ ﮐ ﮑ ﮒ ﮓ ﮔ ﮕ ﮖ ﮗ ﮘ ﮙ ﮚ ﮛ ﮜ ﮝ ﮞ ﮟ ﮠ ﮡ ﮢ ﮣ ﮤ ﮥ ﮦ ﮧ ﮨ</w:t>
      </w:r>
      <w:r w:rsidRPr="0070198B">
        <w:rPr>
          <w:rFonts w:ascii="QCF_BSML" w:hAnsi="QCF_BSML" w:cs="QCF_BSML" w:hint="cs"/>
          <w:color w:val="008000"/>
          <w:sz w:val="20"/>
          <w:szCs w:val="20"/>
          <w:rtl/>
        </w:rPr>
        <w:t xml:space="preserve"> </w:t>
      </w:r>
      <w:r w:rsidRPr="0070198B">
        <w:rPr>
          <w:rFonts w:ascii="QCF_P388" w:hAnsi="QCF_P388" w:cs="QCF_P388"/>
          <w:color w:val="008000"/>
          <w:sz w:val="20"/>
          <w:szCs w:val="20"/>
          <w:rtl/>
        </w:rPr>
        <w:t>ﮩ ﮪ ﮫ ﮬ ﮭ ﮮ ﮯ ﮰ ﮱ ﯓ ﯔ ﯕ</w:t>
      </w:r>
      <w:r w:rsidRPr="0070198B">
        <w:rPr>
          <w:rFonts w:ascii="QCF_BSML" w:hAnsi="QCF_BSML" w:cs="QCF_BSML" w:hint="cs"/>
          <w:color w:val="008000"/>
          <w:sz w:val="20"/>
          <w:szCs w:val="20"/>
          <w:rtl/>
        </w:rPr>
        <w:t xml:space="preserve"> </w:t>
      </w:r>
      <w:r w:rsidRPr="0070198B">
        <w:rPr>
          <w:rFonts w:ascii="QCF_P388" w:hAnsi="QCF_P388" w:cs="QCF_P388"/>
          <w:color w:val="008000"/>
          <w:sz w:val="20"/>
          <w:szCs w:val="20"/>
          <w:rtl/>
        </w:rPr>
        <w:t>ﯖ ﯗ ﯘ ﯙ ﯚ ﯛ ﯜ ﯝ ﯞ ﯟ ﯠ ﯡ ﯢ ﯣ ﯤ ﯥ ﯦ ﯧ ﯨ ﯩ ﯪ ﯫ ﯬ ﯭ ﯮ ﯯ ﯰ ﯱ ﯲ ﯳ ﯴ ﯵ ﯶ</w:t>
      </w:r>
      <w:r w:rsidRPr="0070198B">
        <w:rPr>
          <w:rFonts w:ascii="QCF_P388" w:hAnsi="QCF_P388" w:cs="QCF_P388" w:hint="cs"/>
          <w:color w:val="008000"/>
          <w:sz w:val="20"/>
          <w:szCs w:val="20"/>
          <w:rtl/>
        </w:rPr>
        <w:t xml:space="preserve"> </w:t>
      </w:r>
      <w:r w:rsidRPr="0070198B">
        <w:rPr>
          <w:rFonts w:ascii="QCF_P388" w:hAnsi="QCF_P388" w:cs="QCF_P388"/>
          <w:color w:val="008000"/>
          <w:sz w:val="20"/>
          <w:szCs w:val="20"/>
          <w:rtl/>
        </w:rPr>
        <w:t>ﯷ ﯸ ﯹ ﯺ ﯻ ﯼ ﯽ ﯾ ﯿ ﰀ ﰁ ﰂ ﰃ ﰄ ﰅ ﰆ ﰇ</w:t>
      </w:r>
      <w:r w:rsidRPr="0070198B">
        <w:rPr>
          <w:rFonts w:ascii="QCF_P388" w:hAnsi="QCF_P388" w:cs="DecoType Thuluth"/>
          <w:color w:val="008000"/>
          <w:sz w:val="20"/>
          <w:szCs w:val="20"/>
          <w:rtl/>
        </w:rPr>
        <w:t>}</w:t>
      </w:r>
      <w:r w:rsidRPr="0070198B">
        <w:rPr>
          <w:rFonts w:cs="AL-Hotham" w:hint="cs"/>
          <w:color w:val="008000"/>
          <w:sz w:val="20"/>
          <w:szCs w:val="20"/>
          <w:rtl/>
        </w:rPr>
        <w:t xml:space="preserve"> </w:t>
      </w:r>
      <w:r w:rsidRPr="0070198B">
        <w:rPr>
          <w:rFonts w:asciiTheme="majorBidi" w:hAnsiTheme="majorBidi" w:cstheme="majorBidi"/>
          <w:b/>
          <w:bCs/>
          <w:sz w:val="20"/>
          <w:szCs w:val="20"/>
          <w:rtl/>
        </w:rPr>
        <w:t>[القصص: 25 - 28].</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الآيات فيها دروس كثيرة وعظات، فموسى القوي الأمين، والحياء من بنات شعيب، وزواج موسى من واحدة منهما، وقال أبوها: </w:t>
      </w:r>
      <w:r w:rsidRPr="0070198B">
        <w:rPr>
          <w:rFonts w:cs="DecoType Thuluth" w:hint="cs"/>
          <w:color w:val="008000"/>
          <w:sz w:val="20"/>
          <w:szCs w:val="20"/>
          <w:rtl/>
        </w:rPr>
        <w:t>{</w:t>
      </w:r>
      <w:r w:rsidRPr="0070198B">
        <w:rPr>
          <w:rFonts w:ascii="QCF_P388" w:hAnsi="QCF_P388" w:cs="QCF_P388"/>
          <w:color w:val="008000"/>
          <w:sz w:val="20"/>
          <w:szCs w:val="20"/>
          <w:rtl/>
        </w:rPr>
        <w:t>ﯗ ﯘ ﯙ ﯚ ﯛ ﯜ ﯝ ﯞ ﯟ ﯠ ﯡ ﯢ</w:t>
      </w:r>
      <w:r w:rsidRPr="0070198B">
        <w:rPr>
          <w:rFonts w:ascii="QCF_P388" w:hAnsi="QCF_P388" w:cs="DecoType Thuluth"/>
          <w:color w:val="008000"/>
          <w:sz w:val="20"/>
          <w:szCs w:val="20"/>
          <w:rtl/>
        </w:rPr>
        <w:t>}</w:t>
      </w:r>
      <w:r w:rsidRPr="0070198B">
        <w:rPr>
          <w:rFonts w:cs="AL-Hotham" w:hint="cs"/>
          <w:sz w:val="20"/>
          <w:szCs w:val="20"/>
          <w:rtl/>
        </w:rPr>
        <w:t xml:space="preserve"> </w:t>
      </w:r>
      <w:r w:rsidRPr="0070198B">
        <w:rPr>
          <w:rFonts w:asciiTheme="majorBidi" w:hAnsiTheme="majorBidi" w:cstheme="majorBidi"/>
          <w:b/>
          <w:bCs/>
          <w:sz w:val="20"/>
          <w:szCs w:val="20"/>
          <w:rtl/>
        </w:rPr>
        <w:t xml:space="preserve">كانت الأجرة والصداق أن يعمل موسى عند والد الفتاة ثماني حجج، فإن أتم عشرًا، فهذا من عنده.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والدروس واضحة في الآيات، لكن كتب التفسير سار إليها بعض الإسرائيليات في هذا، فالإمام النسفي وأبو السعود وابن جرير وغيرهم </w:t>
      </w:r>
      <w:r w:rsidRPr="0070198B">
        <w:rPr>
          <w:rFonts w:asciiTheme="majorBidi" w:hAnsiTheme="majorBidi" w:cstheme="majorBidi"/>
          <w:b/>
          <w:bCs/>
          <w:sz w:val="20"/>
          <w:szCs w:val="20"/>
          <w:rtl/>
        </w:rPr>
        <w:lastRenderedPageBreak/>
        <w:t xml:space="preserve">تكلموا إلى أن صهر موسى هو شعيب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ويقول ابن كثير: وهذا ما ذهب إليه كثير من المفسرين، والطبري يقول روايةً عن الحسن: يقولون: شعيب صاحب موسى، ولكنه سيد أهل الماء يومئذٍ. وأجيب عنها: بأن شعيبًا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كان قبل زمان موسى بمدة طويلة، لأنه قال لقومه:</w:t>
      </w:r>
      <w:r w:rsidRPr="0070198B">
        <w:rPr>
          <w:rFonts w:asciiTheme="majorBidi" w:hAnsiTheme="majorBidi" w:cstheme="majorBidi"/>
          <w:b/>
          <w:bCs/>
          <w:color w:val="008000"/>
          <w:sz w:val="20"/>
          <w:szCs w:val="20"/>
          <w:rtl/>
        </w:rPr>
        <w:t xml:space="preserve"> </w:t>
      </w:r>
      <w:r w:rsidRPr="0070198B">
        <w:rPr>
          <w:rFonts w:cs="DecoType Thuluth" w:hint="cs"/>
          <w:color w:val="008000"/>
          <w:sz w:val="20"/>
          <w:szCs w:val="20"/>
          <w:rtl/>
        </w:rPr>
        <w:t>{</w:t>
      </w:r>
      <w:r w:rsidRPr="0070198B">
        <w:rPr>
          <w:rFonts w:ascii="QCF_P232" w:hAnsi="QCF_P232" w:cs="QCF_P232"/>
          <w:color w:val="008000"/>
          <w:sz w:val="20"/>
          <w:szCs w:val="20"/>
          <w:rtl/>
        </w:rPr>
        <w:t>ﭣ ﭤ ﭥ ﭦ ﭧ</w:t>
      </w:r>
      <w:r w:rsidRPr="0070198B">
        <w:rPr>
          <w:rFonts w:ascii="QCF_P232" w:hAnsi="QCF_P232" w:cs="DecoType Thuluth"/>
          <w:color w:val="008000"/>
          <w:sz w:val="20"/>
          <w:szCs w:val="20"/>
          <w:rtl/>
        </w:rPr>
        <w:t>}</w:t>
      </w:r>
      <w:r w:rsidRPr="0070198B">
        <w:rPr>
          <w:rFonts w:cs="AL-Hotham" w:hint="cs"/>
          <w:color w:val="008000"/>
          <w:sz w:val="20"/>
          <w:szCs w:val="20"/>
          <w:rtl/>
        </w:rPr>
        <w:t xml:space="preserve"> </w:t>
      </w:r>
      <w:r w:rsidRPr="0070198B">
        <w:rPr>
          <w:rFonts w:asciiTheme="majorBidi" w:hAnsiTheme="majorBidi" w:cstheme="majorBidi"/>
          <w:b/>
          <w:bCs/>
          <w:sz w:val="20"/>
          <w:szCs w:val="20"/>
          <w:rtl/>
        </w:rPr>
        <w:t xml:space="preserve">[هود: 89] وقد كان هلاك قوم لوط في زمن الخليل إبراهيم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بنص القرآن الكريم، وقد علم أنه كان بين موسى والخليل إبراهيم مدة طويلة تزيد على أربعمائة سنة، كما ذكره غير واحد. </w:t>
      </w:r>
    </w:p>
    <w:p w:rsidR="0070198B" w:rsidRPr="0070198B" w:rsidRDefault="0070198B" w:rsidP="0070198B">
      <w:pPr>
        <w:pStyle w:val="NormalWeb"/>
        <w:bidi/>
        <w:spacing w:before="0" w:beforeAutospacing="0" w:after="120" w:afterAutospacing="0"/>
        <w:jc w:val="both"/>
        <w:rPr>
          <w:rFonts w:asciiTheme="majorBidi" w:hAnsiTheme="majorBidi" w:cstheme="majorBidi"/>
          <w:b/>
          <w:bCs/>
          <w:sz w:val="20"/>
          <w:szCs w:val="20"/>
        </w:rPr>
      </w:pPr>
      <w:r w:rsidRPr="0070198B">
        <w:rPr>
          <w:rFonts w:asciiTheme="majorBidi" w:hAnsiTheme="majorBidi" w:cstheme="majorBidi"/>
          <w:b/>
          <w:bCs/>
          <w:sz w:val="20"/>
          <w:szCs w:val="20"/>
          <w:rtl/>
        </w:rPr>
        <w:t xml:space="preserve">وما قيل: إن شعيبًا عاش مدة طويلة، إنما هو احتراز من هذا الإشكال، وورد في رواية الحسن: ولكنه سيد أهل الماء يومئذٍ، كيف يكون شعيب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سيد أهل الماء، وتنتظر ابنتاه بدون سقي حتى يصدر الرعاء؛ أي: يرجعون بماشيتهم ويتمنون سقيها، قال تعالى:</w:t>
      </w:r>
      <w:r w:rsidRPr="0070198B">
        <w:rPr>
          <w:rFonts w:cs="DecoType Thuluth" w:hint="cs"/>
          <w:color w:val="008000"/>
          <w:sz w:val="20"/>
          <w:szCs w:val="20"/>
          <w:rtl/>
        </w:rPr>
        <w:t xml:space="preserve"> {</w:t>
      </w:r>
      <w:r w:rsidRPr="0070198B">
        <w:rPr>
          <w:rFonts w:ascii="QCF_P388" w:hAnsi="QCF_P388" w:cs="QCF_P388"/>
          <w:color w:val="008000"/>
          <w:sz w:val="20"/>
          <w:szCs w:val="20"/>
          <w:rtl/>
        </w:rPr>
        <w:t>ﭝ ﭞ ﭟ ﭠ ﭡ ﭢ ﭣ ﭤ ﭥ ﭦ ﭧ ﭨ ﭩ ﭪ ﭫ ﭬ ﭭ ﭮ ﭯ ﭰ ﭱ ﭲ ﭳ ﭴ ﭵ ﭶ ﭷ ﭸ ﭹ ﭺ</w:t>
      </w:r>
      <w:r w:rsidRPr="0070198B">
        <w:rPr>
          <w:rFonts w:ascii="QCF_P388" w:hAnsi="QCF_P388" w:cs="DecoType Thuluth"/>
          <w:color w:val="008000"/>
          <w:sz w:val="20"/>
          <w:szCs w:val="20"/>
          <w:rtl/>
        </w:rPr>
        <w:t>}</w:t>
      </w:r>
      <w:r w:rsidRPr="0070198B">
        <w:rPr>
          <w:rFonts w:cs="AL-Hotham" w:hint="cs"/>
          <w:color w:val="008000"/>
          <w:sz w:val="20"/>
          <w:szCs w:val="20"/>
          <w:rtl/>
        </w:rPr>
        <w:t xml:space="preserve"> </w:t>
      </w:r>
      <w:r w:rsidRPr="0070198B">
        <w:rPr>
          <w:rFonts w:asciiTheme="majorBidi" w:hAnsiTheme="majorBidi" w:cstheme="majorBidi"/>
          <w:b/>
          <w:bCs/>
          <w:sz w:val="20"/>
          <w:szCs w:val="20"/>
          <w:rtl/>
        </w:rPr>
        <w:t xml:space="preserve">[القصص: 23].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من الجواب أيضًا: لو كان صهر موسى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هو شعيب لما انتظرت ابنتاه السقي حتى ينتهي الرعاء ويصدر، وله رهط كبير، قال تعالى:</w:t>
      </w:r>
      <w:r w:rsidRPr="0070198B">
        <w:rPr>
          <w:rFonts w:cs="AL-Hotham" w:hint="cs"/>
          <w:sz w:val="20"/>
          <w:szCs w:val="20"/>
          <w:rtl/>
        </w:rPr>
        <w:t xml:space="preserve"> </w:t>
      </w:r>
      <w:r w:rsidRPr="0070198B">
        <w:rPr>
          <w:rFonts w:cs="DecoType Thuluth" w:hint="cs"/>
          <w:color w:val="008000"/>
          <w:sz w:val="20"/>
          <w:szCs w:val="20"/>
          <w:rtl/>
        </w:rPr>
        <w:t>{</w:t>
      </w:r>
      <w:r w:rsidRPr="0070198B">
        <w:rPr>
          <w:rFonts w:ascii="QCF_P232" w:hAnsi="QCF_P232" w:cs="QCF_P232"/>
          <w:color w:val="008000"/>
          <w:sz w:val="20"/>
          <w:szCs w:val="20"/>
          <w:rtl/>
        </w:rPr>
        <w:t>ﮉ ﮊ ﮋ ﮌ ﮍ ﮎ ﮏ</w:t>
      </w:r>
      <w:r w:rsidRPr="0070198B">
        <w:rPr>
          <w:rFonts w:ascii="QCF_P232" w:hAnsi="QCF_P232" w:cs="DecoType Thuluth"/>
          <w:color w:val="008000"/>
          <w:sz w:val="20"/>
          <w:szCs w:val="20"/>
          <w:rtl/>
        </w:rPr>
        <w:t>}</w:t>
      </w:r>
      <w:r w:rsidRPr="0070198B">
        <w:rPr>
          <w:rFonts w:cs="AL-Hotham" w:hint="cs"/>
          <w:color w:val="008000"/>
          <w:sz w:val="20"/>
          <w:szCs w:val="20"/>
          <w:rtl/>
        </w:rPr>
        <w:t xml:space="preserve"> </w:t>
      </w:r>
      <w:r w:rsidRPr="0070198B">
        <w:rPr>
          <w:rFonts w:asciiTheme="majorBidi" w:hAnsiTheme="majorBidi" w:cstheme="majorBidi"/>
          <w:b/>
          <w:bCs/>
          <w:sz w:val="20"/>
          <w:szCs w:val="20"/>
          <w:rtl/>
        </w:rPr>
        <w:t xml:space="preserve">[هود: 92].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من الإجابات أيضًا: لم يذكر حديث صحيح، ولا نص قاطع يفيد بأن شعيبًا هذا الذي هو الرسول </w:t>
      </w:r>
      <w:r w:rsidRPr="0070198B">
        <w:rPr>
          <w:rFonts w:asciiTheme="majorBidi" w:hAnsiTheme="majorBidi" w:cstheme="majorBidi"/>
          <w:b/>
          <w:bCs/>
          <w:position w:val="-4"/>
          <w:sz w:val="20"/>
          <w:szCs w:val="20"/>
        </w:rPr>
        <w:t></w:t>
      </w:r>
      <w:r w:rsidRPr="0070198B">
        <w:rPr>
          <w:rFonts w:asciiTheme="majorBidi" w:hAnsiTheme="majorBidi" w:cstheme="majorBidi"/>
          <w:b/>
          <w:bCs/>
          <w:sz w:val="20"/>
          <w:szCs w:val="20"/>
          <w:rtl/>
        </w:rPr>
        <w:t xml:space="preserve"> كان هو صهر موسى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كل ما ورد فيه لا يقوى إلى درجة الاعتبار في مثل هذا الموضوع، ولا يكتفى فيه بالشهرة، وكثرة أخذ المفسرين به؛ لأن ذلك وحده لا يكفي، وإنما المعول على ذلك النقل الصحيح من المصادر المعتمدة شرعًا، وهي الكتاب والسنة.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القول الفصل في هذه القضية: إن كان الكلام الذي سبق ذكره ليس فيه جدوى كثير، </w:t>
      </w:r>
      <w:r w:rsidRPr="0070198B">
        <w:rPr>
          <w:rFonts w:asciiTheme="majorBidi" w:hAnsiTheme="majorBidi" w:cstheme="majorBidi"/>
          <w:b/>
          <w:bCs/>
          <w:spacing w:val="-4"/>
          <w:sz w:val="20"/>
          <w:szCs w:val="20"/>
          <w:rtl/>
        </w:rPr>
        <w:t xml:space="preserve">كون شعيب هو الرسول الذي أرسله الله، وذكر اسمه في القرآن الكريم من بين خمسة وعشرين رسولًا أو ليس غيره، يعني: قضية لا جدوى من ورائها كثير، لكن يرى العلامة ابن جرير الطبري يقول: التوقف في تعيين صهر موسى </w:t>
      </w:r>
      <w:r w:rsidRPr="0070198B">
        <w:rPr>
          <w:rFonts w:asciiTheme="majorBidi" w:hAnsiTheme="majorBidi" w:cstheme="majorBidi"/>
          <w:b/>
          <w:bCs/>
          <w:spacing w:val="-4"/>
          <w:position w:val="-4"/>
          <w:sz w:val="20"/>
          <w:szCs w:val="20"/>
          <w:rtl/>
        </w:rPr>
        <w:t>#</w:t>
      </w:r>
      <w:r w:rsidRPr="0070198B">
        <w:rPr>
          <w:rFonts w:asciiTheme="majorBidi" w:hAnsiTheme="majorBidi" w:cstheme="majorBidi"/>
          <w:b/>
          <w:bCs/>
          <w:sz w:val="20"/>
          <w:szCs w:val="20"/>
          <w:rtl/>
        </w:rPr>
        <w:t xml:space="preserve"> هو الأفضل، وهو الأسلم، وهذا هو رأي ابن جرير، حيث يقول: إن تعيين صهر موسى مما لا يدرك علمه إلا بخبر، ولا خبر بذلك تجب حجته، فلا قول في ذلك أولى بالصواب مما قاله الله -جل ثناؤه-: </w:t>
      </w:r>
      <w:r w:rsidRPr="0070198B">
        <w:rPr>
          <w:rFonts w:cs="DecoType Thuluth" w:hint="cs"/>
          <w:color w:val="008000"/>
          <w:sz w:val="20"/>
          <w:szCs w:val="20"/>
          <w:rtl/>
        </w:rPr>
        <w:t>{</w:t>
      </w:r>
      <w:r w:rsidRPr="0070198B">
        <w:rPr>
          <w:rFonts w:ascii="QCF_P388" w:hAnsi="QCF_P388" w:cs="QCF_P388"/>
          <w:color w:val="008000"/>
          <w:sz w:val="20"/>
          <w:szCs w:val="20"/>
          <w:rtl/>
        </w:rPr>
        <w:t>ﭸ ﭹ ﭺ</w:t>
      </w:r>
      <w:r w:rsidRPr="0070198B">
        <w:rPr>
          <w:rFonts w:ascii="QCF_P388" w:hAnsi="QCF_P388" w:cs="DecoType Thuluth"/>
          <w:color w:val="008000"/>
          <w:sz w:val="20"/>
          <w:szCs w:val="20"/>
          <w:rtl/>
        </w:rPr>
        <w:t>}</w:t>
      </w:r>
      <w:r w:rsidRPr="0070198B">
        <w:rPr>
          <w:rFonts w:cs="AL-Hotham" w:hint="cs"/>
          <w:sz w:val="20"/>
          <w:szCs w:val="20"/>
          <w:rtl/>
        </w:rPr>
        <w:t xml:space="preserve"> </w:t>
      </w:r>
      <w:r w:rsidRPr="0070198B">
        <w:rPr>
          <w:rFonts w:asciiTheme="majorBidi" w:hAnsiTheme="majorBidi" w:cstheme="majorBidi"/>
          <w:b/>
          <w:bCs/>
          <w:sz w:val="20"/>
          <w:szCs w:val="20"/>
          <w:rtl/>
        </w:rPr>
        <w:t xml:space="preserve">ويفهم أنه كان رجلًا صالحًا، لكن اسمه لم يثبت عنه من مصدر صحيح.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وأما الأثر الذي ذكره الإمام النسفي عن ابن مسعود </w:t>
      </w:r>
      <w:r w:rsidRPr="0070198B">
        <w:rPr>
          <w:rFonts w:asciiTheme="majorBidi" w:hAnsiTheme="majorBidi" w:cstheme="majorBidi"/>
          <w:b/>
          <w:bCs/>
          <w:position w:val="-4"/>
          <w:sz w:val="20"/>
          <w:szCs w:val="20"/>
          <w:rtl/>
        </w:rPr>
        <w:t>&gt;</w:t>
      </w:r>
      <w:r w:rsidRPr="0070198B">
        <w:rPr>
          <w:rFonts w:asciiTheme="majorBidi" w:hAnsiTheme="majorBidi" w:cstheme="majorBidi"/>
          <w:b/>
          <w:bCs/>
          <w:sz w:val="20"/>
          <w:szCs w:val="20"/>
          <w:rtl/>
        </w:rPr>
        <w:t xml:space="preserve">: فقد رواه الحافظ ابن كثير هكذا: قال سفيان الثوري: عن أبي إسحاق عن أبي عبيدة عن عبد الله بن </w:t>
      </w:r>
      <w:r w:rsidRPr="0070198B">
        <w:rPr>
          <w:rFonts w:asciiTheme="majorBidi" w:hAnsiTheme="majorBidi" w:cstheme="majorBidi"/>
          <w:b/>
          <w:bCs/>
          <w:spacing w:val="-6"/>
          <w:sz w:val="20"/>
          <w:szCs w:val="20"/>
          <w:rtl/>
        </w:rPr>
        <w:t xml:space="preserve">مسعود </w:t>
      </w:r>
      <w:r w:rsidRPr="0070198B">
        <w:rPr>
          <w:rFonts w:asciiTheme="majorBidi" w:hAnsiTheme="majorBidi" w:cstheme="majorBidi"/>
          <w:b/>
          <w:bCs/>
          <w:spacing w:val="-6"/>
          <w:position w:val="-4"/>
          <w:sz w:val="20"/>
          <w:szCs w:val="20"/>
          <w:rtl/>
        </w:rPr>
        <w:t>}</w:t>
      </w:r>
      <w:r w:rsidRPr="0070198B">
        <w:rPr>
          <w:rFonts w:asciiTheme="majorBidi" w:hAnsiTheme="majorBidi" w:cstheme="majorBidi"/>
          <w:b/>
          <w:bCs/>
          <w:spacing w:val="-6"/>
          <w:sz w:val="20"/>
          <w:szCs w:val="20"/>
          <w:rtl/>
        </w:rPr>
        <w:t xml:space="preserve"> قال: أفرس الناس ثلاثة: أبو بكر حين تفرس في عمر، وصاحب يوسف حين قال: </w:t>
      </w:r>
      <w:r w:rsidRPr="0070198B">
        <w:rPr>
          <w:rFonts w:ascii="Tahoma" w:hAnsi="Tahoma" w:cs="DecoType Thuluth" w:hint="cs"/>
          <w:color w:val="008000"/>
          <w:spacing w:val="-6"/>
          <w:sz w:val="20"/>
          <w:szCs w:val="20"/>
          <w:rtl/>
        </w:rPr>
        <w:t>{</w:t>
      </w:r>
      <w:r w:rsidRPr="0070198B">
        <w:rPr>
          <w:rFonts w:ascii="QCF_P237" w:hAnsi="QCF_P237" w:cs="QCF_P237"/>
          <w:color w:val="008000"/>
          <w:spacing w:val="-6"/>
          <w:sz w:val="20"/>
          <w:szCs w:val="20"/>
          <w:rtl/>
        </w:rPr>
        <w:t>ﯘ ﯙ</w:t>
      </w:r>
      <w:r w:rsidRPr="0070198B">
        <w:rPr>
          <w:rFonts w:ascii="QCF_P237" w:hAnsi="QCF_P237" w:cs="DecoType Thuluth"/>
          <w:color w:val="008000"/>
          <w:spacing w:val="-6"/>
          <w:sz w:val="20"/>
          <w:szCs w:val="20"/>
          <w:rtl/>
        </w:rPr>
        <w:t>}</w:t>
      </w:r>
      <w:r w:rsidRPr="0070198B">
        <w:rPr>
          <w:rFonts w:ascii="Tahoma" w:hAnsi="Tahoma" w:cs="AL-Hotham" w:hint="cs"/>
          <w:color w:val="008000"/>
          <w:spacing w:val="-6"/>
          <w:sz w:val="20"/>
          <w:szCs w:val="20"/>
          <w:rtl/>
        </w:rPr>
        <w:t xml:space="preserve"> </w:t>
      </w:r>
      <w:r w:rsidRPr="0070198B">
        <w:rPr>
          <w:rFonts w:asciiTheme="majorBidi" w:hAnsiTheme="majorBidi" w:cstheme="majorBidi"/>
          <w:b/>
          <w:bCs/>
          <w:spacing w:val="-6"/>
          <w:sz w:val="20"/>
          <w:szCs w:val="20"/>
          <w:rtl/>
        </w:rPr>
        <w:t>[يوسف: 21]</w:t>
      </w:r>
      <w:r w:rsidRPr="0070198B">
        <w:rPr>
          <w:rFonts w:asciiTheme="majorBidi" w:hAnsiTheme="majorBidi" w:cstheme="majorBidi"/>
          <w:b/>
          <w:bCs/>
          <w:color w:val="008000"/>
          <w:spacing w:val="-6"/>
          <w:sz w:val="20"/>
          <w:szCs w:val="20"/>
          <w:rtl/>
        </w:rPr>
        <w:t xml:space="preserve"> </w:t>
      </w:r>
      <w:r w:rsidRPr="0070198B">
        <w:rPr>
          <w:rFonts w:asciiTheme="majorBidi" w:hAnsiTheme="majorBidi" w:cstheme="majorBidi"/>
          <w:b/>
          <w:bCs/>
          <w:spacing w:val="-6"/>
          <w:sz w:val="20"/>
          <w:szCs w:val="20"/>
          <w:rtl/>
        </w:rPr>
        <w:t xml:space="preserve">وصاحبة موسى حين قالت: </w:t>
      </w:r>
      <w:r w:rsidRPr="0070198B">
        <w:rPr>
          <w:rFonts w:ascii="Tahoma" w:hAnsi="Tahoma" w:cs="DecoType Thuluth" w:hint="cs"/>
          <w:color w:val="008000"/>
          <w:spacing w:val="-6"/>
          <w:sz w:val="20"/>
          <w:szCs w:val="20"/>
          <w:rtl/>
        </w:rPr>
        <w:t>{</w:t>
      </w:r>
      <w:r w:rsidRPr="0070198B">
        <w:rPr>
          <w:rFonts w:ascii="QCF_P388" w:hAnsi="QCF_P388" w:cs="QCF_P388"/>
          <w:color w:val="008000"/>
          <w:spacing w:val="-6"/>
          <w:sz w:val="20"/>
          <w:szCs w:val="20"/>
          <w:rtl/>
        </w:rPr>
        <w:t>ﮫ ﮬ ﮭ ﮮ ﮯ ﮰ ﮱ ﯓ ﯔ</w:t>
      </w:r>
      <w:r w:rsidRPr="0070198B">
        <w:rPr>
          <w:rFonts w:ascii="QCF_P388" w:hAnsi="QCF_P388" w:cs="DecoType Thuluth"/>
          <w:color w:val="008000"/>
          <w:spacing w:val="-6"/>
          <w:sz w:val="20"/>
          <w:szCs w:val="20"/>
          <w:rtl/>
        </w:rPr>
        <w:t>}</w:t>
      </w:r>
      <w:r w:rsidRPr="0070198B">
        <w:rPr>
          <w:rFonts w:cs="AL-Hotham" w:hint="cs"/>
          <w:spacing w:val="-6"/>
          <w:sz w:val="20"/>
          <w:szCs w:val="20"/>
          <w:rtl/>
        </w:rPr>
        <w:t xml:space="preserve">". </w:t>
      </w:r>
      <w:r w:rsidRPr="0070198B">
        <w:rPr>
          <w:rFonts w:asciiTheme="majorBidi" w:hAnsiTheme="majorBidi" w:cstheme="majorBidi"/>
          <w:b/>
          <w:bCs/>
          <w:spacing w:val="-6"/>
          <w:sz w:val="20"/>
          <w:szCs w:val="20"/>
          <w:rtl/>
        </w:rPr>
        <w:t>وهو الموافق للصواب</w:t>
      </w:r>
      <w:r w:rsidRPr="0070198B">
        <w:rPr>
          <w:rFonts w:asciiTheme="majorBidi" w:hAnsiTheme="majorBidi" w:cstheme="majorBidi"/>
          <w:b/>
          <w:bCs/>
          <w:sz w:val="20"/>
          <w:szCs w:val="20"/>
          <w:rtl/>
        </w:rPr>
        <w:t>؛ إذ إنه بدون تعيين لاسم أبيها.</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ما ورد في كتب التفسير من تعيين أسماء بنات شعيب، هل ورد في تسميتهم نص يعتمد عليه؟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tl/>
        </w:rPr>
      </w:pPr>
      <w:r w:rsidRPr="0070198B">
        <w:rPr>
          <w:rFonts w:asciiTheme="majorBidi" w:hAnsiTheme="majorBidi" w:cstheme="majorBidi"/>
          <w:b/>
          <w:bCs/>
          <w:sz w:val="20"/>
          <w:szCs w:val="20"/>
          <w:rtl/>
        </w:rPr>
        <w:lastRenderedPageBreak/>
        <w:t xml:space="preserve">الحقيقة ذكر المفسرون ومنهم الإمام النسفي أن كُبراهما كانت تسمى صفراء، والصغرى صُفيراء، وأن موسى </w:t>
      </w:r>
      <w:r w:rsidRPr="0070198B">
        <w:rPr>
          <w:rFonts w:asciiTheme="majorBidi" w:hAnsiTheme="majorBidi" w:cstheme="majorBidi"/>
          <w:b/>
          <w:bCs/>
          <w:position w:val="-4"/>
          <w:sz w:val="20"/>
          <w:szCs w:val="20"/>
          <w:rtl/>
        </w:rPr>
        <w:t>#</w:t>
      </w:r>
      <w:r w:rsidRPr="0070198B">
        <w:rPr>
          <w:rFonts w:asciiTheme="majorBidi" w:hAnsiTheme="majorBidi" w:cstheme="majorBidi"/>
          <w:b/>
          <w:bCs/>
          <w:sz w:val="20"/>
          <w:szCs w:val="20"/>
          <w:rtl/>
        </w:rPr>
        <w:t xml:space="preserve"> تزوج صفراء الكبرى. </w:t>
      </w:r>
    </w:p>
    <w:p w:rsidR="0070198B" w:rsidRPr="0070198B" w:rsidRDefault="0070198B" w:rsidP="0070198B">
      <w:pPr>
        <w:pStyle w:val="NormalWeb"/>
        <w:bidi/>
        <w:spacing w:before="0" w:beforeAutospacing="0" w:after="120" w:afterAutospacing="0"/>
        <w:jc w:val="lowKashida"/>
        <w:rPr>
          <w:rFonts w:asciiTheme="majorBidi" w:hAnsiTheme="majorBidi" w:cstheme="majorBidi"/>
          <w:b/>
          <w:bCs/>
          <w:sz w:val="20"/>
          <w:szCs w:val="20"/>
        </w:rPr>
      </w:pPr>
      <w:r w:rsidRPr="0070198B">
        <w:rPr>
          <w:rFonts w:asciiTheme="majorBidi" w:hAnsiTheme="majorBidi" w:cstheme="majorBidi"/>
          <w:b/>
          <w:bCs/>
          <w:sz w:val="20"/>
          <w:szCs w:val="20"/>
          <w:rtl/>
        </w:rPr>
        <w:t xml:space="preserve">هكذا ذكر النسفي، ولكن هذا الذي ذكره الإمام النسفي يتنافَى مع ما رواه الطبري عن طريق وابن جريج عن شعيب الجبائي، قال: اسم الجاريتين: ليا وصفورا، وامرأة موسى هي صفورا بنت يثرون كاهن مدين، والكاهن حبر. كما روى الطبري عن ابن إسحاق بنحوه، وقال: إن اسم الثانية شرفا ويقال: ليا. </w:t>
      </w:r>
    </w:p>
    <w:p w:rsidR="0070198B" w:rsidRPr="0070198B" w:rsidRDefault="0070198B" w:rsidP="0070198B">
      <w:pPr>
        <w:spacing w:line="240" w:lineRule="auto"/>
        <w:rPr>
          <w:rFonts w:asciiTheme="majorBidi" w:hAnsiTheme="majorBidi" w:cstheme="majorBidi"/>
          <w:b/>
          <w:bCs/>
          <w:i/>
          <w:iCs/>
          <w:sz w:val="20"/>
          <w:szCs w:val="20"/>
          <w:rtl/>
        </w:rPr>
      </w:pPr>
      <w:r w:rsidRPr="0070198B">
        <w:rPr>
          <w:rFonts w:asciiTheme="majorBidi" w:hAnsiTheme="majorBidi" w:cstheme="majorBidi"/>
          <w:b/>
          <w:bCs/>
          <w:spacing w:val="6"/>
          <w:sz w:val="20"/>
          <w:szCs w:val="20"/>
          <w:rtl/>
        </w:rPr>
        <w:t>والأولى عند ذلك عدم التعيين في اسم الجاريتين؛ لأن طرق روايات تعيينها غير صحيحة، فلم تثبت، وإن ابن جريج وابن إسحاق سبق أن ذكرنا أنهما يرويان الإسرائيليات، وإذا كان القرآن الكريم لم يحدد اسم إحداهما، فيجب علينا ألا نخوض فيما لم يذكره القرآن، وأن نتوقف عندما أجمل القرآن الكريم؛ إذ لا فائدة ولا جدوى من الخوض والتنطع، أو البحث والتقصي وراء ما أجمله القرآن الكريم، فالعظة والدرس فيما أجمل، ولا فائدةَ من تقصي تفاصيل ما أجمله أو بيان ما أبهمه القرآن الكريم، ففيه العظة والعبرة.</w:t>
      </w:r>
    </w:p>
    <w:p w:rsidR="00F158CB" w:rsidRDefault="00F158CB" w:rsidP="0070198B">
      <w:pPr>
        <w:spacing w:after="120" w:line="240" w:lineRule="auto"/>
        <w:jc w:val="center"/>
        <w:rPr>
          <w:rFonts w:asciiTheme="majorBidi" w:hAnsiTheme="majorBidi" w:cstheme="majorBidi"/>
          <w:b/>
          <w:bCs/>
          <w:sz w:val="20"/>
          <w:szCs w:val="20"/>
          <w:rtl/>
        </w:rPr>
      </w:pPr>
    </w:p>
    <w:p w:rsidR="00F158CB" w:rsidRDefault="00F158CB" w:rsidP="0070198B">
      <w:pPr>
        <w:spacing w:after="120" w:line="240" w:lineRule="auto"/>
        <w:jc w:val="center"/>
        <w:rPr>
          <w:rFonts w:asciiTheme="majorBidi" w:hAnsiTheme="majorBidi" w:cstheme="majorBidi"/>
          <w:b/>
          <w:bCs/>
          <w:sz w:val="20"/>
          <w:szCs w:val="20"/>
          <w:rtl/>
        </w:rPr>
      </w:pPr>
    </w:p>
    <w:p w:rsidR="0070198B" w:rsidRPr="0070198B" w:rsidRDefault="0070198B" w:rsidP="0070198B">
      <w:pPr>
        <w:spacing w:after="120" w:line="240" w:lineRule="auto"/>
        <w:jc w:val="center"/>
        <w:rPr>
          <w:rFonts w:asciiTheme="majorBidi" w:hAnsiTheme="majorBidi" w:cstheme="majorBidi"/>
          <w:b/>
          <w:bCs/>
          <w:sz w:val="20"/>
          <w:szCs w:val="20"/>
          <w:rtl/>
        </w:rPr>
      </w:pPr>
      <w:r w:rsidRPr="0070198B">
        <w:rPr>
          <w:rFonts w:asciiTheme="majorBidi" w:hAnsiTheme="majorBidi" w:cstheme="majorBidi"/>
          <w:b/>
          <w:bCs/>
          <w:sz w:val="20"/>
          <w:szCs w:val="20"/>
          <w:rtl/>
        </w:rPr>
        <w:t>المصادر والمراجع</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tl/>
        </w:rPr>
      </w:pPr>
      <w:r w:rsidRPr="0070198B">
        <w:rPr>
          <w:rFonts w:asciiTheme="majorBidi" w:hAnsiTheme="majorBidi" w:cstheme="majorBidi"/>
          <w:b/>
          <w:bCs/>
          <w:sz w:val="20"/>
          <w:szCs w:val="20"/>
          <w:rtl/>
        </w:rPr>
        <w:t>المحمدي عبد الرحمن، (الدخيل في التفسير) ، القاهرة،  جامعة الأزهر، مطبعة حسان، 2009م.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tl/>
        </w:rPr>
      </w:pPr>
      <w:r w:rsidRPr="0070198B">
        <w:rPr>
          <w:rFonts w:asciiTheme="majorBidi" w:hAnsiTheme="majorBidi" w:cstheme="majorBidi"/>
          <w:b/>
          <w:bCs/>
          <w:sz w:val="20"/>
          <w:szCs w:val="20"/>
          <w:rtl/>
        </w:rPr>
        <w:t>الذهبي، محمد حسين الذهبي،  (التفسير والمفسرون) ، طبعة دار الأرقم، 1999م.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lastRenderedPageBreak/>
        <w:t>الذهبي، محمد حسين الذهبي،  (الإسرائيليات في التفسير والحديث) ، طبعة مكتبة وهبة، 1990م.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 xml:space="preserve">شليوه، سمير شليوه،  (الدخيل والإسرائيليات) ، القاهرة، جامعة الأزهر </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الشهرستاني، محمد بن عبد الكريم الشهرستاني،  (الملل والنحل) ، طبعة دار الفكر، 2001م.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محمد الخضر حسين، (البابية أو البهائية) ،مجمع البحوث الإسلامية</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tl/>
        </w:rPr>
      </w:pPr>
      <w:r w:rsidRPr="0070198B">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70198B" w:rsidRPr="0070198B" w:rsidRDefault="0070198B" w:rsidP="0070198B">
      <w:pPr>
        <w:numPr>
          <w:ilvl w:val="0"/>
          <w:numId w:val="2"/>
        </w:numPr>
        <w:spacing w:after="120" w:line="240" w:lineRule="auto"/>
        <w:jc w:val="both"/>
        <w:rPr>
          <w:rFonts w:asciiTheme="majorBidi" w:hAnsiTheme="majorBidi" w:cstheme="majorBidi"/>
          <w:b/>
          <w:bCs/>
          <w:sz w:val="20"/>
          <w:szCs w:val="20"/>
        </w:rPr>
      </w:pPr>
      <w:r w:rsidRPr="0070198B">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70198B" w:rsidRPr="0070198B" w:rsidRDefault="0070198B" w:rsidP="0070198B">
      <w:pPr>
        <w:rPr>
          <w:i/>
          <w:iCs/>
          <w:sz w:val="20"/>
          <w:szCs w:val="20"/>
          <w:rtl/>
        </w:rPr>
        <w:sectPr w:rsidR="0070198B" w:rsidRPr="0070198B" w:rsidSect="0070198B">
          <w:type w:val="continuous"/>
          <w:pgSz w:w="11906" w:h="16838"/>
          <w:pgMar w:top="964" w:right="1021" w:bottom="964" w:left="1021" w:header="709" w:footer="709" w:gutter="0"/>
          <w:cols w:num="2" w:space="708"/>
          <w:bidi/>
          <w:rtlGutter/>
          <w:docGrid w:linePitch="360"/>
        </w:sectPr>
      </w:pPr>
    </w:p>
    <w:p w:rsidR="0070198B" w:rsidRPr="0070198B" w:rsidRDefault="0070198B" w:rsidP="0070198B">
      <w:pPr>
        <w:rPr>
          <w:i/>
          <w:iCs/>
          <w:sz w:val="20"/>
          <w:szCs w:val="20"/>
        </w:rPr>
      </w:pPr>
    </w:p>
    <w:sectPr w:rsidR="0070198B" w:rsidRPr="0070198B" w:rsidSect="0070198B">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248">
    <w:panose1 w:val="02000400000000000000"/>
    <w:charset w:val="00"/>
    <w:family w:val="auto"/>
    <w:pitch w:val="variable"/>
    <w:sig w:usb0="80002003" w:usb1="90000000" w:usb2="00000008" w:usb3="00000000" w:csb0="80000041" w:csb1="00000000"/>
  </w:font>
  <w:font w:name="QCF_P388">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232">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QCF_P23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0F69CF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70198B"/>
    <w:rsid w:val="001B3643"/>
    <w:rsid w:val="00353941"/>
    <w:rsid w:val="003B13AB"/>
    <w:rsid w:val="00514443"/>
    <w:rsid w:val="005E4489"/>
    <w:rsid w:val="0070198B"/>
    <w:rsid w:val="00765067"/>
    <w:rsid w:val="009556CB"/>
    <w:rsid w:val="00BD6104"/>
    <w:rsid w:val="00BF7572"/>
    <w:rsid w:val="00E415B1"/>
    <w:rsid w:val="00F158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0198B"/>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0198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198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pc</cp:lastModifiedBy>
  <cp:revision>4</cp:revision>
  <dcterms:created xsi:type="dcterms:W3CDTF">2013-06-19T10:58:00Z</dcterms:created>
  <dcterms:modified xsi:type="dcterms:W3CDTF">2013-07-31T00:01:00Z</dcterms:modified>
</cp:coreProperties>
</file>