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B" w:rsidRDefault="00B57C71" w:rsidP="00B57C71">
      <w:pPr>
        <w:jc w:val="center"/>
        <w:rPr>
          <w:i/>
          <w:iCs/>
          <w:rtl/>
        </w:rPr>
      </w:pPr>
      <w:r w:rsidRPr="00B57C71">
        <w:rPr>
          <w:rFonts w:asciiTheme="majorBidi" w:eastAsia="Calibri" w:hAnsiTheme="majorBidi" w:cstheme="majorBidi"/>
          <w:i/>
          <w:iCs/>
          <w:sz w:val="48"/>
          <w:szCs w:val="48"/>
          <w:rtl/>
        </w:rPr>
        <w:t>تمهيد</w:t>
      </w:r>
    </w:p>
    <w:p w:rsidR="00B57C71" w:rsidRPr="009264EA" w:rsidRDefault="00B57C71" w:rsidP="00B57C71">
      <w:pPr>
        <w:pStyle w:val="papersubtitle"/>
        <w:bidi/>
        <w:rPr>
          <w:i/>
          <w:iCs/>
          <w:rtl/>
        </w:rPr>
      </w:pPr>
      <w:r w:rsidRPr="009264EA">
        <w:rPr>
          <w:i/>
          <w:iCs/>
          <w:rtl/>
        </w:rPr>
        <w:t xml:space="preserve">بحث  فى </w:t>
      </w:r>
      <w:r>
        <w:rPr>
          <w:rFonts w:hint="cs"/>
          <w:i/>
          <w:iCs/>
          <w:rtl/>
        </w:rPr>
        <w:t>الدخيل فى التفسير</w:t>
      </w:r>
    </w:p>
    <w:p w:rsidR="00B57C71" w:rsidRPr="009264EA" w:rsidRDefault="00B57C71" w:rsidP="0056234A">
      <w:pPr>
        <w:pStyle w:val="papersubtitle"/>
        <w:bidi/>
        <w:rPr>
          <w:i/>
          <w:iCs/>
          <w:sz w:val="24"/>
          <w:szCs w:val="24"/>
        </w:rPr>
      </w:pPr>
      <w:r w:rsidRPr="009264EA">
        <w:rPr>
          <w:i/>
          <w:iCs/>
          <w:sz w:val="24"/>
          <w:szCs w:val="24"/>
          <w:rtl/>
        </w:rPr>
        <w:t xml:space="preserve">إعداد أ/ </w:t>
      </w:r>
      <w:r w:rsidR="0056234A" w:rsidRPr="0056234A">
        <w:rPr>
          <w:rFonts w:hint="cs"/>
          <w:i/>
          <w:iCs/>
          <w:sz w:val="24"/>
          <w:szCs w:val="24"/>
          <w:rtl/>
          <w:lang w:bidi="ar-EG"/>
        </w:rPr>
        <w:t>شادية بيومي حامد</w:t>
      </w:r>
    </w:p>
    <w:p w:rsidR="00B57C71" w:rsidRPr="009264EA" w:rsidRDefault="00B57C71" w:rsidP="00B57C71">
      <w:pPr>
        <w:pStyle w:val="papersubtitle"/>
        <w:bidi/>
        <w:rPr>
          <w:i/>
          <w:iCs/>
          <w:sz w:val="22"/>
          <w:szCs w:val="22"/>
        </w:rPr>
      </w:pPr>
      <w:r w:rsidRPr="009264EA">
        <w:rPr>
          <w:i/>
          <w:iCs/>
          <w:sz w:val="22"/>
          <w:szCs w:val="22"/>
          <w:rtl/>
        </w:rPr>
        <w:t>قسم</w:t>
      </w:r>
      <w:r>
        <w:rPr>
          <w:rFonts w:hint="cs"/>
          <w:i/>
          <w:iCs/>
          <w:sz w:val="22"/>
          <w:szCs w:val="22"/>
          <w:rtl/>
        </w:rPr>
        <w:t xml:space="preserve"> التفسير وعلوم القراَن</w:t>
      </w:r>
    </w:p>
    <w:p w:rsidR="00B57C71" w:rsidRPr="009264EA" w:rsidRDefault="00B57C71" w:rsidP="00B57C71">
      <w:pPr>
        <w:pStyle w:val="papersubtitle"/>
        <w:bidi/>
        <w:rPr>
          <w:i/>
          <w:iCs/>
          <w:sz w:val="22"/>
          <w:szCs w:val="22"/>
        </w:rPr>
      </w:pPr>
      <w:r w:rsidRPr="009264EA">
        <w:rPr>
          <w:i/>
          <w:iCs/>
          <w:sz w:val="22"/>
          <w:szCs w:val="22"/>
          <w:rtl/>
        </w:rPr>
        <w:t>كلية ال</w:t>
      </w:r>
      <w:r w:rsidRPr="009264EA">
        <w:rPr>
          <w:rFonts w:hint="cs"/>
          <w:i/>
          <w:iCs/>
          <w:sz w:val="22"/>
          <w:szCs w:val="22"/>
          <w:rtl/>
        </w:rPr>
        <w:t>علوم الإسلامية</w:t>
      </w:r>
      <w:r w:rsidRPr="009264EA">
        <w:rPr>
          <w:i/>
          <w:iCs/>
          <w:sz w:val="22"/>
          <w:szCs w:val="22"/>
          <w:rtl/>
        </w:rPr>
        <w:t xml:space="preserve"> – جامعة المدينة العالمية</w:t>
      </w:r>
    </w:p>
    <w:p w:rsidR="00B57C71" w:rsidRPr="009264EA" w:rsidRDefault="00B57C71" w:rsidP="00B57C71">
      <w:pPr>
        <w:pStyle w:val="papersubtitle"/>
        <w:bidi/>
        <w:rPr>
          <w:i/>
          <w:iCs/>
          <w:sz w:val="22"/>
          <w:szCs w:val="22"/>
          <w:rtl/>
        </w:rPr>
      </w:pPr>
      <w:r w:rsidRPr="009264EA">
        <w:rPr>
          <w:i/>
          <w:iCs/>
          <w:sz w:val="22"/>
          <w:szCs w:val="22"/>
          <w:rtl/>
        </w:rPr>
        <w:t>شاه علم – ماليزيا</w:t>
      </w:r>
    </w:p>
    <w:p w:rsidR="00B57C71" w:rsidRDefault="0056234A" w:rsidP="00B57C71">
      <w:pPr>
        <w:jc w:val="center"/>
        <w:rPr>
          <w:rFonts w:ascii="Calibri" w:hAnsi="Calibri" w:cs="AL-Mateen"/>
          <w:sz w:val="32"/>
          <w:szCs w:val="32"/>
          <w:lang w:bidi="ar-EG"/>
        </w:rPr>
      </w:pPr>
      <w:r w:rsidRPr="0056234A">
        <w:rPr>
          <w:rFonts w:asciiTheme="majorBidi" w:hAnsiTheme="majorBidi" w:cs="AL-Hotham"/>
          <w:i/>
          <w:iCs/>
          <w:lang w:bidi="ar-EG"/>
        </w:rPr>
        <w:t>shadia@mediu.ws</w:t>
      </w:r>
    </w:p>
    <w:p w:rsidR="00B57C71" w:rsidRDefault="00B57C71" w:rsidP="00B57C71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  <w:sectPr w:rsidR="00B57C71" w:rsidSect="00BF7572">
          <w:pgSz w:w="11906" w:h="16838"/>
          <w:pgMar w:top="964" w:right="1021" w:bottom="964" w:left="1021" w:header="709" w:footer="709" w:gutter="0"/>
          <w:cols w:space="708"/>
          <w:bidi/>
          <w:rtlGutter/>
          <w:docGrid w:linePitch="360"/>
        </w:sectPr>
      </w:pPr>
    </w:p>
    <w:p w:rsidR="00B57C71" w:rsidRPr="00B57C71" w:rsidRDefault="00B57C71" w:rsidP="00B57C71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 xml:space="preserve">خلاصة ـــ هذا البحث يبحث في </w:t>
      </w:r>
      <w:r w:rsidRPr="00B57C71">
        <w:rPr>
          <w:rFonts w:asciiTheme="majorBidi" w:eastAsia="Calibri" w:hAnsiTheme="majorBidi" w:cstheme="majorBidi"/>
          <w:b/>
          <w:bCs/>
          <w:sz w:val="20"/>
          <w:szCs w:val="20"/>
          <w:rtl/>
        </w:rPr>
        <w:t>تمهيد التعريف بالدخيل في التفسير وأنواعه</w:t>
      </w:r>
    </w:p>
    <w:p w:rsidR="00B57C71" w:rsidRPr="00B57C71" w:rsidRDefault="00B57C71" w:rsidP="00B57C71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الكلمات المفتاحية :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الإسرائيليات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،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التفسير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،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الأحاديث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</w:p>
    <w:p w:rsidR="00B57C71" w:rsidRPr="00B57C71" w:rsidRDefault="00B57C71" w:rsidP="00B57C71">
      <w:pPr>
        <w:pStyle w:val="a4"/>
        <w:numPr>
          <w:ilvl w:val="0"/>
          <w:numId w:val="1"/>
        </w:numPr>
        <w:spacing w:after="12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المقدمة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الحمد لله، والصلاة والسلام على سيدنا رسول الله، وعلى آله وصحبه ومن والاه، سوف نتحدث في هذا المقال عن </w:t>
      </w:r>
      <w:r w:rsidRPr="00B57C71">
        <w:rPr>
          <w:rFonts w:asciiTheme="majorBidi" w:eastAsia="Calibri" w:hAnsiTheme="majorBidi" w:cstheme="majorBidi"/>
          <w:b/>
          <w:bCs/>
          <w:sz w:val="20"/>
          <w:szCs w:val="20"/>
          <w:rtl/>
        </w:rPr>
        <w:t>تمهيد التعريف بالدخيل في التفسير وأنواعه</w:t>
      </w:r>
    </w:p>
    <w:p w:rsidR="00B57C71" w:rsidRPr="00B57C71" w:rsidRDefault="00B57C71" w:rsidP="00B57C71">
      <w:pPr>
        <w:pStyle w:val="a3"/>
        <w:numPr>
          <w:ilvl w:val="0"/>
          <w:numId w:val="1"/>
        </w:numPr>
        <w:bidi/>
        <w:spacing w:before="0" w:beforeAutospacing="0" w:after="120" w:afterAutospacing="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عنوان المقال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الحمد لله رب العالمين، والصلاة والسلام على أشرف المرسلين،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سيدنا محمد وعلى آله وصحبه أجمعين، أما بعد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: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مما ينبغي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أن نتذكره أن الدخيل والإسرائيليات موجودة في ثنايا كتب التفسير، لكنها لم تُفرد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بالتأليف إلا في العصر المتأخر، ومن ثَم سنرى أن مراجع هذه المادة المستقلة التي ألفت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في هذا العلم استقلالًا مراجع حديثة، وإن كان السابقون الأقدمون قد بينوا الأحاديث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الضعيفة والموضوعة، وتطرقوا لأنواع كثيرة من هذا العلم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فمن الكتب المشتهرة في هذا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: (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الإسرائيليات والموضوعات) لفضيلة الدكتور محمد أبو شهبة، وأيضًا (التفسير والمفسرون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)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للدكتور محمد حسين الذهبي، و(الإسرائيليات في التفسير والحديث) له أيضًا، وسنرى أيضًا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(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الدخيل في التفسير) للدكتور عبد الوهاب فايد، و(الدخيل في التفسير) لأستاذنا الأستاذ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الدكتور إبراهيم عبد الرحمن خليفة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ولزملائنا في مجال التفسير الآن وفي حقل الدعوة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سنرى: (الدخيل والإسرائيليات) للدكتور سمير شليوة، و(الدخيل في التفسير) للدكتور علي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رضوان، و(الدخيل في التفسير) للدكتور المحمدي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أما السابقون، فلا يخفى أن الإمام السيوطي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وابن عراق وغيرهم، هؤلاء لهم كتب، هناك (تنزيه الشريعة المرفوعة عن الأخبار الشنيعة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الموضوعة) لابن عراق الدمشقي، هناك أيضًا (تدريب الراوي على شرح تقريب النواوي) للإمام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السيوطي، هناك (تحذير الخواص من أكاذيب القصاص) للسيوطي وغيرها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.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pacing w:val="-4"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والقرآن الكريم كتاب الله تعالى الذي أنزله على رسوله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position w:val="-4"/>
          <w:sz w:val="20"/>
          <w:szCs w:val="20"/>
        </w:rPr>
        <w:t>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ليكون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هدايةً للعالمين، وهذا القرآن الذي أنزله ربنا قد تكفل بحفظه فقال -جل وعلا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-: </w:t>
      </w:r>
      <w:r w:rsidRPr="00B57C71">
        <w:rPr>
          <w:rFonts w:ascii="Tahoma" w:hAnsi="Tahoma" w:cs="DecoType Thuluth" w:hint="cs"/>
          <w:color w:val="008000"/>
          <w:spacing w:val="-4"/>
          <w:sz w:val="20"/>
          <w:szCs w:val="20"/>
          <w:rtl/>
        </w:rPr>
        <w:t>{</w:t>
      </w:r>
      <w:r w:rsidRPr="00B57C71">
        <w:rPr>
          <w:rFonts w:ascii="QCF_P262" w:hAnsi="QCF_P262" w:cs="QCF_P262"/>
          <w:color w:val="008000"/>
          <w:spacing w:val="-4"/>
          <w:sz w:val="20"/>
          <w:szCs w:val="20"/>
          <w:rtl/>
        </w:rPr>
        <w:t>ﮗ ﮘ ﮙ ﮚ ﮛ ﮜ ﮝ</w:t>
      </w:r>
      <w:r w:rsidRPr="00B57C71">
        <w:rPr>
          <w:rFonts w:ascii="QCF_P262" w:hAnsi="QCF_P262" w:cs="DecoType Thuluth"/>
          <w:color w:val="008000"/>
          <w:spacing w:val="-4"/>
          <w:sz w:val="20"/>
          <w:szCs w:val="20"/>
          <w:rtl/>
        </w:rPr>
        <w:t>}</w:t>
      </w:r>
      <w:r w:rsidRPr="00B57C71">
        <w:rPr>
          <w:rFonts w:ascii="Tahoma" w:hAnsi="Tahoma" w:cs="AL-Hotham" w:hint="cs"/>
          <w:color w:val="008000"/>
          <w:spacing w:val="-4"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[الحجر: 9]، </w:t>
      </w:r>
      <w:r w:rsidRPr="00B57C71">
        <w:rPr>
          <w:rFonts w:asciiTheme="majorBidi" w:hAnsiTheme="majorBidi" w:cstheme="majorBidi"/>
          <w:b/>
          <w:bCs/>
          <w:spacing w:val="-4"/>
          <w:sz w:val="20"/>
          <w:szCs w:val="20"/>
          <w:rtl/>
          <w:lang w:bidi="ar-EG"/>
        </w:rPr>
        <w:t xml:space="preserve">وقد كلف الله -جل وعلا- </w:t>
      </w:r>
      <w:r w:rsidRPr="00B57C71">
        <w:rPr>
          <w:rFonts w:asciiTheme="majorBidi" w:hAnsiTheme="majorBidi" w:cstheme="majorBidi"/>
          <w:b/>
          <w:bCs/>
          <w:spacing w:val="-6"/>
          <w:sz w:val="20"/>
          <w:szCs w:val="20"/>
          <w:rtl/>
          <w:lang w:bidi="ar-EG"/>
        </w:rPr>
        <w:t xml:space="preserve">رسوله محمدًا </w:t>
      </w:r>
      <w:r w:rsidRPr="00B57C71">
        <w:rPr>
          <w:rFonts w:asciiTheme="majorBidi" w:hAnsiTheme="majorBidi" w:cstheme="majorBidi"/>
          <w:b/>
          <w:bCs/>
          <w:spacing w:val="-6"/>
          <w:position w:val="-4"/>
          <w:sz w:val="20"/>
          <w:szCs w:val="20"/>
          <w:lang w:bidi="ar-EG"/>
        </w:rPr>
        <w:t></w:t>
      </w:r>
      <w:r w:rsidRPr="00B57C71">
        <w:rPr>
          <w:rFonts w:asciiTheme="majorBidi" w:hAnsiTheme="majorBidi" w:cstheme="majorBidi"/>
          <w:b/>
          <w:bCs/>
          <w:spacing w:val="-6"/>
          <w:sz w:val="20"/>
          <w:szCs w:val="20"/>
          <w:rtl/>
          <w:lang w:bidi="ar-EG"/>
        </w:rPr>
        <w:t xml:space="preserve"> أن يبين، وأن يفسر، وأن يشرح للناس كما قال</w:t>
      </w:r>
      <w:r w:rsidRPr="00B57C71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 xml:space="preserve"> -</w:t>
      </w:r>
      <w:r w:rsidRPr="00B57C71">
        <w:rPr>
          <w:rFonts w:asciiTheme="majorBidi" w:hAnsiTheme="majorBidi" w:cstheme="majorBidi"/>
          <w:b/>
          <w:bCs/>
          <w:spacing w:val="-6"/>
          <w:sz w:val="20"/>
          <w:szCs w:val="20"/>
          <w:rtl/>
          <w:lang w:bidi="ar-EG"/>
        </w:rPr>
        <w:t>جل وعلا</w:t>
      </w:r>
      <w:r w:rsidRPr="00B57C71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>-:</w:t>
      </w:r>
      <w:r w:rsidRPr="00B57C71">
        <w:rPr>
          <w:rFonts w:ascii="Tahoma" w:hAnsi="Tahoma" w:cs="DecoType Thuluth" w:hint="cs"/>
          <w:color w:val="008000"/>
          <w:spacing w:val="-6"/>
          <w:sz w:val="20"/>
          <w:szCs w:val="20"/>
          <w:rtl/>
        </w:rPr>
        <w:t>{</w:t>
      </w:r>
      <w:r w:rsidRPr="00B57C71">
        <w:rPr>
          <w:rFonts w:ascii="QCF_P272" w:hAnsi="QCF_P272" w:cs="QCF_P272"/>
          <w:color w:val="008000"/>
          <w:spacing w:val="-6"/>
          <w:sz w:val="20"/>
          <w:szCs w:val="20"/>
          <w:rtl/>
        </w:rPr>
        <w:t>ﭥ ﭦ ﭧ ﭨ ﭩ ﭪ ﭫ ﭬ</w:t>
      </w:r>
      <w:r w:rsidRPr="00B57C71">
        <w:rPr>
          <w:rFonts w:ascii="QCF_P272" w:hAnsi="QCF_P272" w:cs="DecoType Thuluth"/>
          <w:color w:val="008000"/>
          <w:spacing w:val="-6"/>
          <w:sz w:val="20"/>
          <w:szCs w:val="20"/>
          <w:rtl/>
        </w:rPr>
        <w:t>}</w:t>
      </w:r>
      <w:r w:rsidRPr="00B57C71">
        <w:rPr>
          <w:rFonts w:ascii="Tahoma" w:hAnsi="Tahoma" w:cs="AL-Hotham" w:hint="cs"/>
          <w:color w:val="008000"/>
          <w:spacing w:val="-6"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 xml:space="preserve">[النحل: 44] </w:t>
      </w:r>
      <w:r w:rsidRPr="00B57C71">
        <w:rPr>
          <w:rFonts w:asciiTheme="majorBidi" w:hAnsiTheme="majorBidi" w:cstheme="majorBidi"/>
          <w:b/>
          <w:bCs/>
          <w:spacing w:val="-6"/>
          <w:sz w:val="20"/>
          <w:szCs w:val="20"/>
          <w:rtl/>
          <w:lang w:bidi="ar-EG"/>
        </w:rPr>
        <w:t>كما تكفل له ربه</w:t>
      </w:r>
      <w:r w:rsidRPr="00B57C71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>:</w:t>
      </w:r>
      <w:r w:rsidRPr="00B57C71">
        <w:rPr>
          <w:rFonts w:ascii="Tahoma" w:hAnsi="Tahoma" w:cs="DecoType Thuluth" w:hint="cs"/>
          <w:color w:val="008000"/>
          <w:spacing w:val="-6"/>
          <w:sz w:val="20"/>
          <w:szCs w:val="20"/>
          <w:rtl/>
        </w:rPr>
        <w:t xml:space="preserve"> {</w:t>
      </w:r>
      <w:r w:rsidRPr="00B57C71">
        <w:rPr>
          <w:rFonts w:ascii="QCF_P577" w:hAnsi="QCF_P577" w:cs="QCF_P577"/>
          <w:color w:val="008000"/>
          <w:spacing w:val="-6"/>
          <w:sz w:val="20"/>
          <w:szCs w:val="20"/>
          <w:rtl/>
        </w:rPr>
        <w:t>ﯿ ﰀ ﰁ ﰂ ﰃ</w:t>
      </w:r>
      <w:r w:rsidRPr="00B57C71">
        <w:rPr>
          <w:rFonts w:ascii="QCF_BSML" w:hAnsi="QCF_BSML" w:cs="QCF_BSML" w:hint="cs"/>
          <w:color w:val="008000"/>
          <w:spacing w:val="-6"/>
          <w:sz w:val="20"/>
          <w:szCs w:val="20"/>
          <w:rtl/>
        </w:rPr>
        <w:t xml:space="preserve"> </w:t>
      </w:r>
      <w:r w:rsidRPr="00B57C71">
        <w:rPr>
          <w:rFonts w:ascii="QCF_P577" w:hAnsi="QCF_P577" w:cs="QCF_P577"/>
          <w:color w:val="008000"/>
          <w:spacing w:val="-6"/>
          <w:sz w:val="20"/>
          <w:szCs w:val="20"/>
          <w:rtl/>
        </w:rPr>
        <w:t>ﰄ ﰅ ﰆ ﰇ ﰈ</w:t>
      </w:r>
      <w:r w:rsidRPr="00B57C71">
        <w:rPr>
          <w:rFonts w:ascii="QCF_P577" w:hAnsi="QCF_P577" w:cs="QCF_P577" w:hint="cs"/>
          <w:color w:val="008000"/>
          <w:spacing w:val="-6"/>
          <w:sz w:val="20"/>
          <w:szCs w:val="20"/>
          <w:rtl/>
        </w:rPr>
        <w:t xml:space="preserve"> </w:t>
      </w:r>
      <w:r w:rsidRPr="00B57C71">
        <w:rPr>
          <w:rFonts w:ascii="QCF_P577" w:hAnsi="QCF_P577" w:cs="QCF_P577"/>
          <w:color w:val="008000"/>
          <w:spacing w:val="-6"/>
          <w:sz w:val="20"/>
          <w:szCs w:val="20"/>
          <w:rtl/>
        </w:rPr>
        <w:t>ﰉ ﰊ ﰋ ﰌ</w:t>
      </w:r>
      <w:r w:rsidRPr="00B57C71">
        <w:rPr>
          <w:rFonts w:ascii="QCF_P577" w:hAnsi="QCF_P577" w:cs="DecoType Thuluth"/>
          <w:color w:val="008000"/>
          <w:spacing w:val="-6"/>
          <w:sz w:val="20"/>
          <w:szCs w:val="20"/>
          <w:rtl/>
        </w:rPr>
        <w:t>}</w:t>
      </w:r>
      <w:r w:rsidRPr="00B57C71">
        <w:rPr>
          <w:rFonts w:ascii="Tahoma" w:hAnsi="Tahoma" w:cs="AL-Hotham" w:hint="cs"/>
          <w:color w:val="008000"/>
          <w:spacing w:val="-6"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 xml:space="preserve">[القيامة: 17- 19]. 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هذا الرسول الكريم </w:t>
      </w:r>
      <w:r w:rsidRPr="00B57C71">
        <w:rPr>
          <w:rFonts w:asciiTheme="majorBidi" w:hAnsiTheme="majorBidi" w:cstheme="majorBidi"/>
          <w:b/>
          <w:bCs/>
          <w:spacing w:val="20"/>
          <w:position w:val="-4"/>
          <w:sz w:val="20"/>
          <w:szCs w:val="20"/>
        </w:rPr>
        <w:sym w:font="AGA Arabesque" w:char="F065"/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بلغ وبين، وعلم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الأمة، وتبعه أصحابه -رضوان الله عليهم- فكان من الصحابة جمع اشتهر بالتفسير هؤلاء، هم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أعلام الهدى وأئمة التفسير: عبد الله بن عباس حبر الأمة، علي بن أبي طالب، عبد الله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بن مسعود، أبي بن كعب، وزيد بن ثابت، وعبد الله بن عمر، وابن عمرو وغيرهم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lastRenderedPageBreak/>
        <w:t>وكانوا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دائمًا يقرءون ويعملون ويشرحون ويفسرون القرآن الكريم لمن حولهم من التابعين، حتى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عرف أن عبد الله بن عباس كانت له مدرسته في مكة المكرمة، وله تلاميذه، وعبد الله بن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مسعود كانت مدرسته في الكوفة، وأبي كان مدرسته في المدينة المنورة -على ساكنها أفضل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الصلاة والسلام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.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pacing w:val="2"/>
          <w:sz w:val="20"/>
          <w:szCs w:val="20"/>
          <w:rtl/>
          <w:lang w:bidi="ar-EG"/>
        </w:rPr>
        <w:t>ومما لا يخفى أن معرفة التفسير والوقوف على هدايات القرآن الكريم من</w:t>
      </w:r>
      <w:r w:rsidRPr="00B57C71">
        <w:rPr>
          <w:rFonts w:asciiTheme="majorBidi" w:hAnsiTheme="majorBidi" w:cstheme="majorBidi"/>
          <w:b/>
          <w:bCs/>
          <w:spacing w:val="2"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pacing w:val="2"/>
          <w:sz w:val="20"/>
          <w:szCs w:val="20"/>
          <w:rtl/>
          <w:lang w:bidi="ar-EG"/>
        </w:rPr>
        <w:t>أعظم الغايات، وأشرف المقاصد؛ ولذلك نجد صاحب (الإتقان) الإمام السيوطي عقد فصلًا</w:t>
      </w:r>
      <w:r w:rsidRPr="00B57C71">
        <w:rPr>
          <w:rFonts w:asciiTheme="majorBidi" w:hAnsiTheme="majorBidi" w:cstheme="majorBidi"/>
          <w:b/>
          <w:bCs/>
          <w:spacing w:val="2"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pacing w:val="2"/>
          <w:sz w:val="20"/>
          <w:szCs w:val="20"/>
          <w:rtl/>
          <w:lang w:bidi="ar-EG"/>
        </w:rPr>
        <w:t>كاملًا عن شرف علم التفسير لعله الباب السابع والسبعون، وتطرق لقوله سبحانه</w:t>
      </w:r>
      <w:r w:rsidRPr="00B57C71">
        <w:rPr>
          <w:rFonts w:asciiTheme="majorBidi" w:hAnsiTheme="majorBidi" w:cstheme="majorBidi"/>
          <w:b/>
          <w:bCs/>
          <w:spacing w:val="2"/>
          <w:sz w:val="20"/>
          <w:szCs w:val="20"/>
          <w:rtl/>
        </w:rPr>
        <w:t>: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="Tahoma" w:hAnsi="Tahoma" w:cs="DecoType Thuluth" w:hint="cs"/>
          <w:color w:val="008000"/>
          <w:sz w:val="20"/>
          <w:szCs w:val="20"/>
          <w:rtl/>
        </w:rPr>
        <w:t>{</w:t>
      </w:r>
      <w:r w:rsidRPr="00B57C71">
        <w:rPr>
          <w:rFonts w:ascii="QCF_P045" w:hAnsi="QCF_P045" w:cs="QCF_P045"/>
          <w:color w:val="008000"/>
          <w:sz w:val="20"/>
          <w:szCs w:val="20"/>
          <w:rtl/>
        </w:rPr>
        <w:t>ﯤ ﯥ ﯦ ﯧ ﯨ ﯩ ﯪ ﯫ ﯬ ﯭ ﯮ ﯯ</w:t>
      </w:r>
      <w:r w:rsidRPr="00B57C71">
        <w:rPr>
          <w:rFonts w:ascii="QCF_P045" w:hAnsi="QCF_P045" w:cs="DecoType Thuluth"/>
          <w:color w:val="008000"/>
          <w:sz w:val="20"/>
          <w:szCs w:val="20"/>
          <w:rtl/>
        </w:rPr>
        <w:t>}</w:t>
      </w:r>
      <w:r w:rsidRPr="00B57C71">
        <w:rPr>
          <w:rFonts w:ascii="Tahoma" w:hAnsi="Tahoma" w:cs="AL-Hotham" w:hint="cs"/>
          <w:color w:val="008000"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[البقرة: 269]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ونقل لنا ما رواه عن ابن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عباس قال عن الحكمة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: "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المعرفة بالقرآن: حلاله وحرامه، ناسخه ومنسوخه، محكمه ومتشابهه،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مقدمه ومؤخره، وأمثال القرآن وقصصه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".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ونحو ذلك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كل هذا بين أن التفسير من فروض الكفايات،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ومن أجل العلوم الشرعية قاطبة؛ لأن موضوعه كتاب الله </w:t>
      </w:r>
      <w:r w:rsidRPr="00B57C71">
        <w:rPr>
          <w:rFonts w:asciiTheme="majorBidi" w:hAnsiTheme="majorBidi" w:cstheme="majorBidi"/>
          <w:b/>
          <w:bCs/>
          <w:position w:val="-4"/>
          <w:sz w:val="20"/>
          <w:szCs w:val="20"/>
          <w:lang w:bidi="ar-EG"/>
        </w:rPr>
        <w:t>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بعد جيل الصحابة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جاء التابعون، فاعتمدوا على المصادر السابقة: القرآن، أقوال الرسول، أقوال الصحابة، وتلا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ذلك التابعون وتابعو التابعين شرحًا لكتاب الله وبيانًا لما فيه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حتى جاءت العصور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التي بدأ فيها يظهر التباس في الفهم، أو سوء وحقد من أعداء الإسلام، فأدخلوا في كتبنا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وفي تفاسير القرآن ما ليس منه، بل إن بعض المفسرين القدامى كالثعلبي في كتابه (الكشف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والبيان في تفسير القرآن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)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وهناك أيضًا الإمام الواحدي في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تفسيره (الوسيط) وهناك أيضًا تفسير لابن جرير الطبري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.</w:t>
      </w:r>
    </w:p>
    <w:p w:rsidR="00B57C71" w:rsidRDefault="00B57C71" w:rsidP="00B57C7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هذه الكتب القديمة لم تخلُ من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بعض الإسرائيليات والأقوال الضعيفة مما بدأ الدخيل يسري إلى كتب التفسير التي هي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شرحٌ لكتاب الله </w:t>
      </w:r>
      <w:r w:rsidRPr="00B57C71">
        <w:rPr>
          <w:rFonts w:asciiTheme="majorBidi" w:hAnsiTheme="majorBidi" w:cstheme="majorBidi"/>
          <w:b/>
          <w:bCs/>
          <w:position w:val="-4"/>
          <w:sz w:val="20"/>
          <w:szCs w:val="20"/>
          <w:lang w:bidi="ar-EG"/>
        </w:rPr>
        <w:t></w:t>
      </w: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B57C71" w:rsidRPr="00B57C71" w:rsidRDefault="00B57C71" w:rsidP="00B57C71">
      <w:pPr>
        <w:pStyle w:val="a3"/>
        <w:bidi/>
        <w:spacing w:before="0" w:beforeAutospacing="0" w:after="120" w:afterAutospacing="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المصادر والمراجع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المحمدي عبد الرحمن، (الدخيل في التفسير) ، القاهرة،  جامعة الأزهر، مطبعة حسان، 2009م.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الذهبي، محمد حسين الذهبي،  (التفسير والمفسرون) ، طبعة دار الأرقم، 1999م.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الذهبي، محمد حسين الذهبي،  (الإسرائيليات في التفسير والحديث) ، طبعة مكتبة وهبة، 1990م.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شليوه، سمير شليوه،  (الدخيل والإسرائيليات) ، القاهرة، جامعة الأزهر 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رضوان، على حسن السيد رضوان،  (الدخيل في التفسير) ، جامعة الأزهر، مجلة الشريعة والدراسات الإسلامية. 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السيوطي، جلال الدين السيوطي،  (تدريب الراوي في شرح تقريب النواوي) ، دار الكتاب العربي للطباعة والنشر 20003م.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الشهرستاني، محمد بن عبد الكريم الشهرستاني،  (الملل والنحل) ، طبعة دار الفكر، 2001م.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محمد الخضر حسين، (البابية أو البهائية) ،مجمع البحوث الإسلامية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>القاسمي، محمد جمال الدين القاسمي، (تفسير القاسمي المسمى محاسن التأويل) ، طبعة دار إحياء الكتب العربية، 1960م.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الشعراوي، فضيلة الشيخ محمد متولي الشعراوي،  (معجزة القرآن) ، القاهرة، طبعة مكتبة أخبار اليوم، 1993م.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>الشاطبي، إبراهيم بن موسى أبو إسحاق الشاطبي،  (الموافقات في أصول الشريعة) ، دار الكتب العلمية، 1993م.</w:t>
      </w:r>
    </w:p>
    <w:p w:rsidR="00B57C71" w:rsidRPr="00B57C71" w:rsidRDefault="00B57C71" w:rsidP="00B57C7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57C71">
        <w:rPr>
          <w:rFonts w:asciiTheme="majorBidi" w:hAnsiTheme="majorBidi" w:cstheme="majorBidi"/>
          <w:b/>
          <w:bCs/>
          <w:sz w:val="20"/>
          <w:szCs w:val="20"/>
          <w:rtl/>
        </w:rPr>
        <w:t>الأصفهاني، الراغب الأصفهاني، تحقيق:محمد سيد كيلاني (المفردات في غريب القرآن) ، القاهرة، مطبعة مصطفى البابي، 1961م.</w:t>
      </w:r>
    </w:p>
    <w:p w:rsidR="00B57C71" w:rsidRPr="00B57C71" w:rsidRDefault="00B57C71" w:rsidP="00B57C71">
      <w:pPr>
        <w:rPr>
          <w:i/>
          <w:iCs/>
          <w:sz w:val="20"/>
          <w:szCs w:val="20"/>
          <w:rtl/>
        </w:rPr>
        <w:sectPr w:rsidR="00B57C71" w:rsidRPr="00B57C71" w:rsidSect="00B57C71">
          <w:type w:val="continuous"/>
          <w:pgSz w:w="11906" w:h="16838"/>
          <w:pgMar w:top="964" w:right="1021" w:bottom="964" w:left="1021" w:header="709" w:footer="709" w:gutter="0"/>
          <w:cols w:num="2" w:space="708"/>
          <w:bidi/>
          <w:rtlGutter/>
          <w:docGrid w:linePitch="360"/>
        </w:sectPr>
      </w:pPr>
    </w:p>
    <w:p w:rsidR="00B57C71" w:rsidRPr="00B57C71" w:rsidRDefault="00B57C71" w:rsidP="00B57C71">
      <w:pPr>
        <w:rPr>
          <w:i/>
          <w:iCs/>
          <w:sz w:val="20"/>
          <w:szCs w:val="20"/>
        </w:rPr>
      </w:pPr>
    </w:p>
    <w:sectPr w:rsidR="00B57C71" w:rsidRPr="00B57C71" w:rsidSect="00B57C71">
      <w:type w:val="continuous"/>
      <w:pgSz w:w="11906" w:h="16838"/>
      <w:pgMar w:top="964" w:right="1021" w:bottom="964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2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4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C1744"/>
    <w:multiLevelType w:val="hybridMultilevel"/>
    <w:tmpl w:val="7F206CB0"/>
    <w:lvl w:ilvl="0" w:tplc="2F0AF552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232C5"/>
    <w:multiLevelType w:val="hybridMultilevel"/>
    <w:tmpl w:val="81261172"/>
    <w:lvl w:ilvl="0" w:tplc="2BEA30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57C71"/>
    <w:rsid w:val="00440C41"/>
    <w:rsid w:val="00514443"/>
    <w:rsid w:val="0056234A"/>
    <w:rsid w:val="009556CB"/>
    <w:rsid w:val="00B57C71"/>
    <w:rsid w:val="00BD6104"/>
    <w:rsid w:val="00B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subtitle">
    <w:name w:val="paper subtitle"/>
    <w:rsid w:val="00B57C71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3">
    <w:name w:val="Normal (Web)"/>
    <w:basedOn w:val="a"/>
    <w:rsid w:val="00B57C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7C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mohmed 2</dc:creator>
  <cp:lastModifiedBy>A</cp:lastModifiedBy>
  <cp:revision>2</cp:revision>
  <dcterms:created xsi:type="dcterms:W3CDTF">2013-06-19T08:17:00Z</dcterms:created>
  <dcterms:modified xsi:type="dcterms:W3CDTF">2013-06-26T08:32:00Z</dcterms:modified>
</cp:coreProperties>
</file>