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B" w:rsidRDefault="00F1007E" w:rsidP="00F1007E">
      <w:pPr>
        <w:jc w:val="center"/>
        <w:rPr>
          <w:i/>
          <w:iCs/>
          <w:rtl/>
        </w:rPr>
      </w:pPr>
      <w:r w:rsidRPr="00F1007E">
        <w:rPr>
          <w:rFonts w:asciiTheme="majorBidi" w:eastAsia="Calibri" w:hAnsiTheme="majorBidi" w:cstheme="majorBidi"/>
          <w:i/>
          <w:iCs/>
          <w:sz w:val="48"/>
          <w:szCs w:val="48"/>
          <w:rtl/>
        </w:rPr>
        <w:t>تعريف الدخيل والأصيل</w:t>
      </w:r>
    </w:p>
    <w:p w:rsidR="00F1007E" w:rsidRPr="009264EA" w:rsidRDefault="00F1007E" w:rsidP="00F1007E">
      <w:pPr>
        <w:pStyle w:val="papersubtitle"/>
        <w:bidi/>
        <w:rPr>
          <w:i/>
          <w:iCs/>
          <w:rtl/>
        </w:rPr>
      </w:pPr>
      <w:r w:rsidRPr="009264EA">
        <w:rPr>
          <w:i/>
          <w:iCs/>
          <w:rtl/>
        </w:rPr>
        <w:t xml:space="preserve">بحث  فى </w:t>
      </w:r>
      <w:r>
        <w:rPr>
          <w:rFonts w:hint="cs"/>
          <w:i/>
          <w:iCs/>
          <w:rtl/>
        </w:rPr>
        <w:t>الدخيل فى التفسير</w:t>
      </w:r>
    </w:p>
    <w:p w:rsidR="00F1007E" w:rsidRPr="009264EA" w:rsidRDefault="00F1007E" w:rsidP="00E876B1">
      <w:pPr>
        <w:pStyle w:val="papersubtitle"/>
        <w:bidi/>
        <w:rPr>
          <w:i/>
          <w:iCs/>
          <w:sz w:val="24"/>
          <w:szCs w:val="24"/>
          <w:lang w:bidi="ar-EG"/>
        </w:rPr>
      </w:pPr>
      <w:r w:rsidRPr="009264EA">
        <w:rPr>
          <w:i/>
          <w:iCs/>
          <w:sz w:val="24"/>
          <w:szCs w:val="24"/>
          <w:rtl/>
        </w:rPr>
        <w:t xml:space="preserve">إعداد أ/ </w:t>
      </w:r>
      <w:r w:rsidR="00E876B1" w:rsidRPr="00E876B1">
        <w:rPr>
          <w:i/>
          <w:iCs/>
          <w:sz w:val="24"/>
          <w:szCs w:val="24"/>
          <w:rtl/>
          <w:lang w:bidi="ar-EG"/>
        </w:rPr>
        <w:t>أحمد عبد الحميد مهدي</w:t>
      </w:r>
    </w:p>
    <w:p w:rsidR="00F1007E" w:rsidRPr="009264EA" w:rsidRDefault="00F1007E" w:rsidP="00F1007E">
      <w:pPr>
        <w:pStyle w:val="papersubtitle"/>
        <w:bidi/>
        <w:rPr>
          <w:i/>
          <w:iCs/>
          <w:sz w:val="22"/>
          <w:szCs w:val="22"/>
        </w:rPr>
      </w:pPr>
      <w:r w:rsidRPr="009264EA">
        <w:rPr>
          <w:i/>
          <w:iCs/>
          <w:sz w:val="22"/>
          <w:szCs w:val="22"/>
          <w:rtl/>
        </w:rPr>
        <w:t>قسم</w:t>
      </w:r>
      <w:r>
        <w:rPr>
          <w:rFonts w:hint="cs"/>
          <w:i/>
          <w:iCs/>
          <w:sz w:val="22"/>
          <w:szCs w:val="22"/>
          <w:rtl/>
        </w:rPr>
        <w:t xml:space="preserve"> التفسير وعلوم القراَن</w:t>
      </w:r>
    </w:p>
    <w:p w:rsidR="00F1007E" w:rsidRPr="009264EA" w:rsidRDefault="00F1007E" w:rsidP="00F1007E">
      <w:pPr>
        <w:pStyle w:val="papersubtitle"/>
        <w:bidi/>
        <w:rPr>
          <w:i/>
          <w:iCs/>
          <w:sz w:val="22"/>
          <w:szCs w:val="22"/>
        </w:rPr>
      </w:pPr>
      <w:r w:rsidRPr="009264EA">
        <w:rPr>
          <w:i/>
          <w:iCs/>
          <w:sz w:val="22"/>
          <w:szCs w:val="22"/>
          <w:rtl/>
        </w:rPr>
        <w:t>كلية ال</w:t>
      </w:r>
      <w:r w:rsidRPr="009264EA">
        <w:rPr>
          <w:rFonts w:hint="cs"/>
          <w:i/>
          <w:iCs/>
          <w:sz w:val="22"/>
          <w:szCs w:val="22"/>
          <w:rtl/>
        </w:rPr>
        <w:t>علوم الإسلامية</w:t>
      </w:r>
      <w:r w:rsidRPr="009264EA">
        <w:rPr>
          <w:i/>
          <w:iCs/>
          <w:sz w:val="22"/>
          <w:szCs w:val="22"/>
          <w:rtl/>
        </w:rPr>
        <w:t xml:space="preserve"> – جامعة المدينة العالمية</w:t>
      </w:r>
    </w:p>
    <w:p w:rsidR="00F1007E" w:rsidRPr="009264EA" w:rsidRDefault="00F1007E" w:rsidP="00F1007E">
      <w:pPr>
        <w:pStyle w:val="papersubtitle"/>
        <w:bidi/>
        <w:rPr>
          <w:i/>
          <w:iCs/>
          <w:sz w:val="22"/>
          <w:szCs w:val="22"/>
          <w:rtl/>
        </w:rPr>
      </w:pPr>
      <w:r w:rsidRPr="009264EA">
        <w:rPr>
          <w:i/>
          <w:iCs/>
          <w:sz w:val="22"/>
          <w:szCs w:val="22"/>
          <w:rtl/>
        </w:rPr>
        <w:t>شاه علم – ماليزيا</w:t>
      </w:r>
    </w:p>
    <w:p w:rsidR="00F1007E" w:rsidRDefault="00E876B1" w:rsidP="00F1007E">
      <w:pPr>
        <w:jc w:val="center"/>
        <w:rPr>
          <w:rFonts w:ascii="Calibri" w:hAnsi="Calibri" w:cs="AL-Mateen"/>
          <w:sz w:val="32"/>
          <w:szCs w:val="32"/>
          <w:lang w:bidi="ar-EG"/>
        </w:rPr>
      </w:pPr>
      <w:r w:rsidRPr="00E876B1">
        <w:rPr>
          <w:rFonts w:asciiTheme="majorBidi" w:hAnsiTheme="majorBidi" w:cs="AL-Hotham"/>
          <w:i/>
          <w:iCs/>
          <w:lang w:bidi="ar-EG"/>
        </w:rPr>
        <w:t>ahmed.mahdey@mediu.ws</w:t>
      </w:r>
    </w:p>
    <w:p w:rsidR="00F1007E" w:rsidRDefault="00F1007E" w:rsidP="00F1007E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  <w:sectPr w:rsidR="00F1007E" w:rsidSect="00BF7572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F1007E" w:rsidRPr="00F1007E" w:rsidRDefault="00F1007E" w:rsidP="00F1007E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 xml:space="preserve">خلاصة ـــ هذا البحث يبحث في </w:t>
      </w:r>
      <w:r w:rsidRPr="00F1007E">
        <w:rPr>
          <w:rFonts w:asciiTheme="majorBidi" w:eastAsia="Calibri" w:hAnsiTheme="majorBidi" w:cstheme="majorBidi"/>
          <w:b/>
          <w:bCs/>
          <w:sz w:val="20"/>
          <w:szCs w:val="20"/>
          <w:rtl/>
        </w:rPr>
        <w:t>تعريف الدخيل والأصيل</w:t>
      </w:r>
    </w:p>
    <w:p w:rsidR="00F1007E" w:rsidRPr="00F1007E" w:rsidRDefault="00F1007E" w:rsidP="00F1007E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الكلمات المفتاحية :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الدخيل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،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اللغة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،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المعاني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</w:p>
    <w:p w:rsidR="00F1007E" w:rsidRPr="00F1007E" w:rsidRDefault="00F1007E" w:rsidP="00F1007E">
      <w:pPr>
        <w:pStyle w:val="a4"/>
        <w:numPr>
          <w:ilvl w:val="0"/>
          <w:numId w:val="1"/>
        </w:numPr>
        <w:spacing w:after="12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المقدمة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الحمد لله، والصلاة والسلام على سيدنا رسول الله، وعلى آله وصحبه ومن والاه، سوف نتحدث في هذا المقال عن </w:t>
      </w:r>
      <w:r w:rsidRPr="00F1007E">
        <w:rPr>
          <w:rFonts w:asciiTheme="majorBidi" w:eastAsia="Calibri" w:hAnsiTheme="majorBidi" w:cstheme="majorBidi"/>
          <w:b/>
          <w:bCs/>
          <w:sz w:val="20"/>
          <w:szCs w:val="20"/>
          <w:rtl/>
        </w:rPr>
        <w:t>تعريف الدخيل والأصيل</w:t>
      </w:r>
    </w:p>
    <w:p w:rsidR="00F1007E" w:rsidRPr="00F1007E" w:rsidRDefault="00F1007E" w:rsidP="00F1007E">
      <w:pPr>
        <w:pStyle w:val="a3"/>
        <w:numPr>
          <w:ilvl w:val="0"/>
          <w:numId w:val="1"/>
        </w:numPr>
        <w:bidi/>
        <w:spacing w:before="0" w:beforeAutospacing="0" w:after="120" w:afterAutospacing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عنوان المقال</w:t>
      </w:r>
    </w:p>
    <w:p w:rsidR="00F1007E" w:rsidRPr="00F1007E" w:rsidRDefault="00F1007E" w:rsidP="00F1007E">
      <w:pPr>
        <w:pStyle w:val="a3"/>
        <w:bidi/>
        <w:spacing w:before="0" w:beforeAutospacing="0"/>
        <w:jc w:val="lowKashida"/>
        <w:rPr>
          <w:rFonts w:asciiTheme="majorBidi" w:hAnsiTheme="majorBidi" w:cstheme="majorBidi"/>
          <w:b/>
          <w:bCs/>
          <w:color w:val="000080"/>
          <w:sz w:val="20"/>
          <w:szCs w:val="20"/>
          <w:lang w:bidi="ar-EG"/>
        </w:rPr>
      </w:pPr>
      <w:r w:rsidRPr="00F1007E">
        <w:rPr>
          <w:rFonts w:asciiTheme="majorBidi" w:hAnsiTheme="majorBidi" w:cstheme="majorBidi"/>
          <w:b/>
          <w:bCs/>
          <w:color w:val="000080"/>
          <w:sz w:val="20"/>
          <w:szCs w:val="20"/>
          <w:rtl/>
          <w:lang w:bidi="ar-EG"/>
        </w:rPr>
        <w:t>تعريف الدخيل: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الدخيل في اللغة: هو الوافدُ الذي تسلل من الخارج،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وليس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له أصل في المحيط الذي تسلل إليه، وتُستعمل هذه الكلمة في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: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الأشخاص، والألفاظ، والكلمات، والمعاني، وما أشبه ذلك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لو رجعنا إلى كتب اللغة سنرى صاحب (القاموس) و(لسان العرب) وصاحب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كتاب (الأساس) العلامة الزمخشري و(المصباح المنير) و(المفردات) للراغب الأصفهاني، كل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أولئك حدثونا عن معنى الكلمة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"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الدخيل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":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الدخل ما داخلك من فساد في عقل أو جسم، وقد دخل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كفرح،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ودخل كعني دخلًا ودخلًا، وهذا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المعنى يفيد الغدر والمكر والدهاء والخديعة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والعيب، سواء كان في الحسب أو في الشجر أو في الناس أو في القوم الذين ينتسبون إلى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من ليسوا منهم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وقالوا: داء دخيل، ودخل أمره؛ أي: فسَدَ داخله، فلان دخيل في القوم؛ أي: ليس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منهم، هو من غيرهم، وإذًا كلمة الدخيل كلمة إذا أدخلت في كلام العرب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تطلق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على الكلمة التي تندس في كلام العرب، وليست من كلام العرب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يتحصل من ذلك أن الدخيل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يدور حول معنى: العيب، الفساد الداخلي، سواء من الغرابة أو من المكر أو من الخديعة أو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الريبة أو عفن الجوف ونحو ذلك، وإذا قلنا كلمة دخيل فعيل، أهي بمعنى فاعل أو مفعول؟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إذا أطلق على العيب نفسه كانت كلمة دخيل بمعنى داخل، بمعنى فاعل، وإن أطلق على الشيء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المعيب نفسه كانت بمعنى مدخول أي: هو مفعول، وهذا مبالغة، فالدخيل في التفسير: العيب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والفساد، عيب وفساد اجتهد صاحبه أن يدس حقيقته، ويخفيها في ثنايا الأصيل في التفسير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للقرآن الكريم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لعل هذا يوضح الآن أن الدخيل في اللغة هو الوافدُ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الذي تسلل من الخارج، وليس له أصل في المحيط الذي تسلل إليه، وإذا ما خلصنا إلى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المعنى الاصطلاحي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: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هو الذي ليس له أصل صحيح في الدين، تسلل إلى رحاب التفسير على حين غِرة، وعلى حين غفلة من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الزمن؛ بفعل مؤثرات مختلفة بعد وفاة رسول الله </w:t>
      </w:r>
      <w:r w:rsidRPr="00F1007E">
        <w:rPr>
          <w:rFonts w:asciiTheme="majorBidi" w:hAnsiTheme="majorBidi" w:cstheme="majorBidi"/>
          <w:b/>
          <w:bCs/>
          <w:position w:val="-4"/>
          <w:sz w:val="20"/>
          <w:szCs w:val="20"/>
          <w:lang w:bidi="ar-EG"/>
        </w:rPr>
        <w:t>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color w:val="000080"/>
          <w:sz w:val="20"/>
          <w:szCs w:val="20"/>
          <w:rtl/>
          <w:lang w:bidi="ar-EG"/>
        </w:rPr>
        <w:t>ولو تساءلنا: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الذي أثر في إظهار هذا الدخيل أكثر وأكثر؟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: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color w:val="000080"/>
          <w:sz w:val="20"/>
          <w:szCs w:val="20"/>
          <w:rtl/>
          <w:lang w:bidi="ar-EG"/>
        </w:rPr>
        <w:t>الإجابة: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جانبان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: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color w:val="000080"/>
          <w:sz w:val="20"/>
          <w:szCs w:val="20"/>
          <w:rtl/>
          <w:lang w:bidi="ar-EG"/>
        </w:rPr>
        <w:t>الجانب الأول: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جانب خارجي، وهذا يتمثل في أعداء الإسلام الحاقدين من اليهود والنصارى والشيوعيين، ومن الكافرين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المشركين الذين كانوا حريصين على اللغو وعلى إظهار القرآن بأنه متناقض؛ ليشككوا فيه،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لأن القرآن حمل على الشرك حملة شعواء، كما سيتضح الآن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lastRenderedPageBreak/>
        <w:t>دس هؤلاء خرافاتهم وأباطيلهم حول القرآن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يريدون فتنة المسلمين في دينهم، يريدون تشكيك المسلمين في كتاب ربهم، يريدون تفتيت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وحدة الأمة الإسلامية التي أرسى قواعدها رسول الإسلام محمد </w:t>
      </w:r>
      <w:r w:rsidRPr="00F1007E">
        <w:rPr>
          <w:rFonts w:asciiTheme="majorBidi" w:hAnsiTheme="majorBidi" w:cstheme="majorBidi"/>
          <w:b/>
          <w:bCs/>
          <w:position w:val="-4"/>
          <w:sz w:val="20"/>
          <w:szCs w:val="20"/>
          <w:lang w:bidi="ar-EG"/>
        </w:rPr>
        <w:t>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pacing w:val="-6"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color w:val="000080"/>
          <w:spacing w:val="-6"/>
          <w:sz w:val="20"/>
          <w:szCs w:val="20"/>
          <w:rtl/>
          <w:lang w:bidi="ar-EG"/>
        </w:rPr>
        <w:t>الجانب الآخر: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  <w:lang w:bidi="ar-EG"/>
        </w:rPr>
        <w:t xml:space="preserve"> الجانب الداخلي، ويتمثل هذا في طوائف مختلفة انتسبت إلى الِإسلام زورًا، ولكنها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  <w:lang w:bidi="ar-EG"/>
        </w:rPr>
        <w:t>في الحقيقة وثيقة الصلة بأعداء الإسلام، من هؤلاء طوائف شوشت بخرافاتها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  <w:lang w:bidi="ar-EG"/>
        </w:rPr>
        <w:t>وتحريفها، ولها مخططات رسمها لهم أعداء الإسلام من اليهود والنصارى والمجوس، هم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  <w:lang w:bidi="ar-EG"/>
        </w:rPr>
        <w:t>جميعًا يريدون أن يمكروا، وصدق الله إذ يقول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 xml:space="preserve">: </w:t>
      </w:r>
      <w:r w:rsidRPr="00F1007E">
        <w:rPr>
          <w:rFonts w:ascii="Tahoma" w:hAnsi="Tahoma" w:cs="DecoType Thuluth" w:hint="cs"/>
          <w:color w:val="008000"/>
          <w:spacing w:val="-6"/>
          <w:sz w:val="20"/>
          <w:szCs w:val="20"/>
          <w:rtl/>
        </w:rPr>
        <w:t>{</w:t>
      </w:r>
      <w:r w:rsidRPr="00F1007E">
        <w:rPr>
          <w:rFonts w:ascii="QCF_P180" w:hAnsi="QCF_P180" w:cs="QCF_P180"/>
          <w:color w:val="008000"/>
          <w:spacing w:val="-6"/>
          <w:sz w:val="20"/>
          <w:szCs w:val="20"/>
          <w:rtl/>
        </w:rPr>
        <w:t>ﮛ ﮜ ﮝ ﮞ ﮟ ﮠ ﮡ</w:t>
      </w:r>
      <w:r w:rsidRPr="00F1007E">
        <w:rPr>
          <w:rFonts w:ascii="QCF_P180" w:hAnsi="QCF_P180" w:cs="DecoType Thuluth"/>
          <w:color w:val="008000"/>
          <w:spacing w:val="-6"/>
          <w:sz w:val="20"/>
          <w:szCs w:val="20"/>
          <w:rtl/>
        </w:rPr>
        <w:t>}</w:t>
      </w:r>
      <w:r w:rsidRPr="00F1007E">
        <w:rPr>
          <w:rFonts w:ascii="Tahoma" w:hAnsi="Tahoma" w:cs="AL-Hotham" w:hint="cs"/>
          <w:color w:val="008000"/>
          <w:spacing w:val="-6"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 xml:space="preserve">[الأنفال: 30]، </w:t>
      </w:r>
      <w:r w:rsidRPr="00F1007E">
        <w:rPr>
          <w:rFonts w:ascii="Tahoma" w:hAnsi="Tahoma" w:cs="DecoType Thuluth" w:hint="cs"/>
          <w:color w:val="008000"/>
          <w:spacing w:val="-6"/>
          <w:sz w:val="20"/>
          <w:szCs w:val="20"/>
          <w:rtl/>
        </w:rPr>
        <w:t>{</w:t>
      </w:r>
      <w:r w:rsidRPr="00F1007E">
        <w:rPr>
          <w:rFonts w:ascii="QCF_P192" w:hAnsi="QCF_P192" w:cs="QCF_P192"/>
          <w:color w:val="008000"/>
          <w:spacing w:val="-6"/>
          <w:sz w:val="20"/>
          <w:szCs w:val="20"/>
          <w:rtl/>
        </w:rPr>
        <w:t>ﭑ ﭒ ﭓ ﭔ ﭕ ﭖ ﭗ ﭘ ﭙ ﭚ ﭛ ﭜ ﭝ ﭞ ﭟ</w:t>
      </w:r>
      <w:r w:rsidRPr="00F1007E">
        <w:rPr>
          <w:rFonts w:ascii="QCF_P192" w:hAnsi="QCF_P192" w:cs="DecoType Thuluth"/>
          <w:color w:val="008000"/>
          <w:spacing w:val="-6"/>
          <w:sz w:val="20"/>
          <w:szCs w:val="20"/>
          <w:rtl/>
        </w:rPr>
        <w:t>}</w:t>
      </w:r>
      <w:r w:rsidRPr="00F1007E">
        <w:rPr>
          <w:rFonts w:ascii="Tahoma" w:hAnsi="Tahoma" w:cs="AL-Hotham" w:hint="cs"/>
          <w:color w:val="008000"/>
          <w:spacing w:val="-6"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pacing w:val="-6"/>
          <w:sz w:val="20"/>
          <w:szCs w:val="20"/>
          <w:rtl/>
        </w:rPr>
        <w:t xml:space="preserve">[التوبة: 32]. </w:t>
      </w:r>
    </w:p>
    <w:p w:rsidR="00F1007E" w:rsidRP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بهذا يتضح لنا معنى الدخيل، ماذا يقابل هذه الكلمة؟ الأصيل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F1007E" w:rsidRDefault="00F1007E" w:rsidP="00F1007E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قال علماء اللغة: الأصيل أو الأصل: أساس وأسفل كل شيء، ورجل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أصيل: له أصل رجل ثابت الرأي عاقل، فلان أصيل الرأي،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وقد أصل رأيه، ومجد أصيل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أي: ذو أصالة، فالأصيل في الاصطلاح هو: التفسير الذي ثبت عن طريق القرآن أو السنة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النبوية الصحيحة أو أقوال الصحابة أو أقوال التابعين ثبوتًا مقبولًا، أو ما يرِد عن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طريق الرأي الصحيح المستكمل لشروط الرأي المحمود</w:t>
      </w: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6B20F1" w:rsidRDefault="006B20F1" w:rsidP="006B20F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6B20F1" w:rsidRPr="00F1007E" w:rsidRDefault="006B20F1" w:rsidP="006B20F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F1007E" w:rsidRPr="00F1007E" w:rsidRDefault="00F1007E" w:rsidP="00F1007E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المصادر والمراجع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المحمدي عبد الرحمن، (الدخيل في التفسير) ، القاهرة،  جامعة الأزهر، مطبعة حسان، 2009م.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الذهبي، محمد حسين الذهبي،  (التفسير والمفسرون) ، طبعة دار الأرقم، 1999م.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الذهبي، محمد حسين الذهبي،  (الإسرائيليات في التفسير والحديث) ، طبعة مكتبة وهبة، 1990م.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شليوه، سمير شليوه،  (الدخيل والإسرائيليات) ، القاهرة، جامعة الأزهر 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رضوان، على حسن السيد رضوان،  (الدخيل في التفسير) ، جامعة الأزهر، مجلة الشريعة والدراسات الإسلامية. 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السيوطي، جلال الدين السيوطي،  (تدريب الراوي في شرح تقريب النواوي) ، دار الكتاب العربي للطباعة والنشر 20003م.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الشهرستاني، محمد بن عبد الكريم الشهرستاني،  (الملل والنحل) ، طبعة دار الفكر، 2001م.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محمد الخضر حسين، (البابية أو البهائية) ،مجمع البحوث الإسلامية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القاسمي، محمد جمال الدين القاسمي، (تفسير القاسمي المسمى محاسن التأويل) ، طبعة دار إحياء الكتب العربية، 1960م.</w:t>
      </w:r>
    </w:p>
    <w:p w:rsidR="00F1007E" w:rsidRP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>الشعراوي، فضيلة الشيخ محمد متولي الشعراوي،  (معجزة القرآن) ، القاهرة، طبعة مكتبة أخبار اليوم، 1993م.</w:t>
      </w:r>
    </w:p>
    <w:p w:rsidR="00F1007E" w:rsidRDefault="00F1007E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t>الشاطبي، إبراهيم بن موسى أبو إسحاق الشاطبي،  (الموافقات في أصول الشريعة) ، دار الكتب العلمية، 1993م.</w:t>
      </w:r>
    </w:p>
    <w:p w:rsidR="008C5655" w:rsidRPr="00F1007E" w:rsidRDefault="008C5655" w:rsidP="00F1007E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1007E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>الأصفهاني، الراغب الأصفهاني، تحقيق:محمد سيد كيلاني (المفردات في غريب القرآن) ، القاهرة، مطبعة مصطفى البابي، 1961م.</w:t>
      </w:r>
    </w:p>
    <w:p w:rsidR="00F1007E" w:rsidRDefault="00F1007E" w:rsidP="00F1007E">
      <w:pPr>
        <w:rPr>
          <w:i/>
          <w:iCs/>
          <w:rtl/>
        </w:rPr>
        <w:sectPr w:rsidR="00F1007E" w:rsidSect="00F1007E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F1007E" w:rsidRPr="00F1007E" w:rsidRDefault="00F1007E" w:rsidP="00F1007E">
      <w:pPr>
        <w:rPr>
          <w:i/>
          <w:iCs/>
        </w:rPr>
      </w:pPr>
    </w:p>
    <w:sectPr w:rsidR="00F1007E" w:rsidRPr="00F1007E" w:rsidSect="00F1007E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1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C1744"/>
    <w:multiLevelType w:val="hybridMultilevel"/>
    <w:tmpl w:val="7F206CB0"/>
    <w:lvl w:ilvl="0" w:tplc="2F0AF552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232C5"/>
    <w:multiLevelType w:val="hybridMultilevel"/>
    <w:tmpl w:val="B93847AA"/>
    <w:lvl w:ilvl="0" w:tplc="2BEA30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007E"/>
    <w:rsid w:val="00084DE5"/>
    <w:rsid w:val="00514443"/>
    <w:rsid w:val="006B20F1"/>
    <w:rsid w:val="008C5655"/>
    <w:rsid w:val="009556CB"/>
    <w:rsid w:val="00BB246C"/>
    <w:rsid w:val="00BD6104"/>
    <w:rsid w:val="00BF7572"/>
    <w:rsid w:val="00E876B1"/>
    <w:rsid w:val="00F1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subtitle">
    <w:name w:val="paper subtitle"/>
    <w:rsid w:val="00F1007E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3">
    <w:name w:val="Normal (Web)"/>
    <w:basedOn w:val="a"/>
    <w:rsid w:val="00F100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100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4</cp:revision>
  <dcterms:created xsi:type="dcterms:W3CDTF">2013-06-19T08:23:00Z</dcterms:created>
  <dcterms:modified xsi:type="dcterms:W3CDTF">2013-06-26T08:31:00Z</dcterms:modified>
</cp:coreProperties>
</file>