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3E" w:rsidRPr="00261428" w:rsidRDefault="0007763E" w:rsidP="00261428">
      <w:pPr>
        <w:spacing w:line="240" w:lineRule="auto"/>
        <w:jc w:val="center"/>
        <w:rPr>
          <w:i/>
          <w:iCs/>
          <w:rtl/>
        </w:rPr>
      </w:pPr>
      <w:r w:rsidRPr="0007763E">
        <w:rPr>
          <w:rFonts w:asciiTheme="majorBidi" w:eastAsia="Calibri" w:hAnsiTheme="majorBidi" w:cstheme="majorBidi"/>
          <w:i/>
          <w:iCs/>
          <w:sz w:val="48"/>
          <w:szCs w:val="48"/>
          <w:rtl/>
        </w:rPr>
        <w:t>تعريف الحديث الموضوع</w:t>
      </w:r>
      <w:r w:rsidR="00261428">
        <w:rPr>
          <w:rFonts w:asciiTheme="majorBidi" w:eastAsia="Calibri" w:hAnsiTheme="majorBidi" w:cstheme="majorBidi" w:hint="cs"/>
          <w:i/>
          <w:iCs/>
          <w:sz w:val="48"/>
          <w:szCs w:val="48"/>
          <w:rtl/>
        </w:rPr>
        <w:t xml:space="preserve"> </w:t>
      </w:r>
      <w:r w:rsidRPr="0007763E">
        <w:rPr>
          <w:rFonts w:hint="cs"/>
          <w:i/>
          <w:iCs/>
          <w:sz w:val="48"/>
          <w:szCs w:val="48"/>
          <w:rtl/>
        </w:rPr>
        <w:t>(</w:t>
      </w:r>
      <w:r>
        <w:rPr>
          <w:rFonts w:hint="cs"/>
          <w:i/>
          <w:iCs/>
          <w:sz w:val="48"/>
          <w:szCs w:val="48"/>
          <w:rtl/>
        </w:rPr>
        <w:t>3</w:t>
      </w:r>
      <w:r w:rsidRPr="0007763E">
        <w:rPr>
          <w:rFonts w:hint="cs"/>
          <w:i/>
          <w:iCs/>
          <w:sz w:val="48"/>
          <w:szCs w:val="48"/>
          <w:rtl/>
        </w:rPr>
        <w:t>)</w:t>
      </w:r>
    </w:p>
    <w:p w:rsidR="0007763E" w:rsidRPr="009264EA" w:rsidRDefault="0007763E" w:rsidP="0007763E">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07763E" w:rsidRPr="009264EA" w:rsidRDefault="0007763E" w:rsidP="00261428">
      <w:pPr>
        <w:pStyle w:val="papersubtitle"/>
        <w:bidi/>
        <w:rPr>
          <w:i/>
          <w:iCs/>
          <w:sz w:val="24"/>
          <w:szCs w:val="24"/>
          <w:lang w:bidi="ar-EG"/>
        </w:rPr>
      </w:pPr>
      <w:r w:rsidRPr="009264EA">
        <w:rPr>
          <w:i/>
          <w:iCs/>
          <w:sz w:val="24"/>
          <w:szCs w:val="24"/>
          <w:rtl/>
        </w:rPr>
        <w:t xml:space="preserve">إعداد أ/ </w:t>
      </w:r>
      <w:r w:rsidR="00261428" w:rsidRPr="00261428">
        <w:rPr>
          <w:i/>
          <w:iCs/>
          <w:sz w:val="24"/>
          <w:szCs w:val="24"/>
          <w:rtl/>
          <w:lang w:bidi="ar-EG"/>
        </w:rPr>
        <w:t>أحمد عبد الحميد مهدي</w:t>
      </w:r>
    </w:p>
    <w:p w:rsidR="0007763E" w:rsidRPr="009264EA" w:rsidRDefault="0007763E" w:rsidP="0007763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07763E" w:rsidRPr="009264EA" w:rsidRDefault="0007763E" w:rsidP="0007763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07763E" w:rsidRPr="009264EA" w:rsidRDefault="0007763E" w:rsidP="0007763E">
      <w:pPr>
        <w:pStyle w:val="papersubtitle"/>
        <w:bidi/>
        <w:rPr>
          <w:i/>
          <w:iCs/>
          <w:sz w:val="22"/>
          <w:szCs w:val="22"/>
          <w:rtl/>
        </w:rPr>
      </w:pPr>
      <w:r w:rsidRPr="009264EA">
        <w:rPr>
          <w:i/>
          <w:iCs/>
          <w:sz w:val="22"/>
          <w:szCs w:val="22"/>
          <w:rtl/>
        </w:rPr>
        <w:t>شاه علم – ماليزيا</w:t>
      </w:r>
    </w:p>
    <w:p w:rsidR="0007763E" w:rsidRDefault="00261428" w:rsidP="0007763E">
      <w:pPr>
        <w:spacing w:line="240" w:lineRule="auto"/>
        <w:jc w:val="center"/>
        <w:rPr>
          <w:rFonts w:ascii="Calibri" w:hAnsi="Calibri" w:cs="AL-Mateen"/>
          <w:sz w:val="32"/>
          <w:szCs w:val="32"/>
          <w:lang w:bidi="ar-EG"/>
        </w:rPr>
      </w:pPr>
      <w:r w:rsidRPr="00261428">
        <w:rPr>
          <w:rFonts w:asciiTheme="majorBidi" w:hAnsiTheme="majorBidi" w:cs="AL-Hotham"/>
          <w:i/>
          <w:iCs/>
          <w:lang w:bidi="ar-EG"/>
        </w:rPr>
        <w:t>ahmed.mahdey@mediu.ws</w:t>
      </w:r>
    </w:p>
    <w:p w:rsidR="0007763E" w:rsidRDefault="0007763E" w:rsidP="0007763E">
      <w:pPr>
        <w:spacing w:after="120"/>
        <w:rPr>
          <w:rFonts w:asciiTheme="majorBidi" w:hAnsiTheme="majorBidi" w:cstheme="majorBidi"/>
          <w:b/>
          <w:bCs/>
          <w:sz w:val="20"/>
          <w:szCs w:val="20"/>
          <w:rtl/>
        </w:rPr>
        <w:sectPr w:rsidR="0007763E" w:rsidSect="00BF7572">
          <w:pgSz w:w="11906" w:h="16838"/>
          <w:pgMar w:top="964" w:right="1021" w:bottom="964" w:left="1021" w:header="709" w:footer="709" w:gutter="0"/>
          <w:cols w:space="708"/>
          <w:bidi/>
          <w:rtlGutter/>
          <w:docGrid w:linePitch="360"/>
        </w:sectPr>
      </w:pPr>
    </w:p>
    <w:p w:rsidR="0007763E" w:rsidRPr="0007763E" w:rsidRDefault="0007763E" w:rsidP="0007763E">
      <w:pPr>
        <w:spacing w:after="120"/>
        <w:rPr>
          <w:rFonts w:asciiTheme="majorBidi" w:hAnsiTheme="majorBidi" w:cstheme="majorBidi"/>
          <w:b/>
          <w:bCs/>
          <w:sz w:val="20"/>
          <w:szCs w:val="20"/>
          <w:rtl/>
          <w:lang w:bidi="ar-EG"/>
        </w:rPr>
      </w:pPr>
      <w:r w:rsidRPr="0007763E">
        <w:rPr>
          <w:rFonts w:asciiTheme="majorBidi" w:hAnsiTheme="majorBidi" w:cstheme="majorBidi"/>
          <w:b/>
          <w:bCs/>
          <w:sz w:val="20"/>
          <w:szCs w:val="20"/>
          <w:rtl/>
        </w:rPr>
        <w:lastRenderedPageBreak/>
        <w:t xml:space="preserve">خلاصة ـــ هذا البحث يبحث في </w:t>
      </w:r>
      <w:r w:rsidRPr="0007763E">
        <w:rPr>
          <w:rFonts w:asciiTheme="majorBidi" w:eastAsia="Calibri" w:hAnsiTheme="majorBidi" w:cstheme="majorBidi"/>
          <w:b/>
          <w:bCs/>
          <w:sz w:val="20"/>
          <w:szCs w:val="20"/>
          <w:rtl/>
        </w:rPr>
        <w:t>تعريف الحديث الموضوع</w:t>
      </w:r>
    </w:p>
    <w:p w:rsidR="0007763E" w:rsidRPr="0007763E" w:rsidRDefault="0007763E" w:rsidP="0007763E">
      <w:pPr>
        <w:spacing w:after="120"/>
        <w:rPr>
          <w:rFonts w:asciiTheme="majorBidi" w:hAnsiTheme="majorBidi" w:cstheme="majorBidi"/>
          <w:b/>
          <w:bCs/>
          <w:sz w:val="20"/>
          <w:szCs w:val="20"/>
          <w:rtl/>
          <w:lang w:bidi="ar-EG"/>
        </w:rPr>
      </w:pPr>
      <w:r w:rsidRPr="0007763E">
        <w:rPr>
          <w:rFonts w:asciiTheme="majorBidi" w:hAnsiTheme="majorBidi" w:cstheme="majorBidi"/>
          <w:b/>
          <w:bCs/>
          <w:sz w:val="20"/>
          <w:szCs w:val="20"/>
          <w:rtl/>
        </w:rPr>
        <w:t xml:space="preserve">الكلمات المفتاحية : الأحاديث ، العواقب ، التفسير </w:t>
      </w:r>
    </w:p>
    <w:p w:rsidR="0007763E" w:rsidRPr="0007763E" w:rsidRDefault="0007763E" w:rsidP="0007763E">
      <w:pPr>
        <w:pStyle w:val="a4"/>
        <w:numPr>
          <w:ilvl w:val="0"/>
          <w:numId w:val="1"/>
        </w:numPr>
        <w:spacing w:after="120" w:line="276" w:lineRule="auto"/>
        <w:jc w:val="center"/>
        <w:rPr>
          <w:rFonts w:asciiTheme="majorBidi" w:hAnsiTheme="majorBidi" w:cstheme="majorBidi"/>
          <w:b/>
          <w:bCs/>
          <w:sz w:val="20"/>
          <w:szCs w:val="20"/>
          <w:rtl/>
        </w:rPr>
      </w:pPr>
      <w:r w:rsidRPr="0007763E">
        <w:rPr>
          <w:rFonts w:asciiTheme="majorBidi" w:hAnsiTheme="majorBidi" w:cstheme="majorBidi"/>
          <w:b/>
          <w:bCs/>
          <w:sz w:val="20"/>
          <w:szCs w:val="20"/>
          <w:rtl/>
        </w:rPr>
        <w:t>المقدمة</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7763E">
        <w:rPr>
          <w:rFonts w:asciiTheme="majorBidi" w:eastAsia="Calibri" w:hAnsiTheme="majorBidi" w:cstheme="majorBidi"/>
          <w:b/>
          <w:bCs/>
          <w:sz w:val="20"/>
          <w:szCs w:val="20"/>
          <w:rtl/>
        </w:rPr>
        <w:t>تعريف الحديث الموضوع</w:t>
      </w:r>
    </w:p>
    <w:p w:rsidR="0007763E" w:rsidRPr="0007763E" w:rsidRDefault="0007763E" w:rsidP="0007763E">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07763E">
        <w:rPr>
          <w:rFonts w:asciiTheme="majorBidi" w:hAnsiTheme="majorBidi" w:cstheme="majorBidi"/>
          <w:b/>
          <w:bCs/>
          <w:sz w:val="20"/>
          <w:szCs w:val="20"/>
          <w:rtl/>
        </w:rPr>
        <w:t>عنوان المقال</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ومن ذلك ما روي: أنه قيل لمحمد بن عكاشة الكرماني: إن قومًا يرفعون أيديهم في الركوع، وفي الرفع فيه؛ فقال: حدثنا المسيب بن واضح عن أنس مرفوعًا: "من رفع يديه في الركوع؛ فلا صلاة له" حديث أخرجه ابن الجوزي في (الموضوعات) قال الشوكاني: رواه الجوزقاني عن أنس مرفوعًا، وهو موضوع، والمتهم به محمد بن عكاشة الكرماني.</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وهكذا كان للتعصب المذهبي أثره السيئ على الثقافة الإسلامية؛ حيث كان كل صاحب مذهب يكذب، وينسب أحاديث مكذوبة، ويرفعها كذبًا انتصارًا لمذهبه.</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خامسًا:</w:t>
      </w:r>
      <w:r w:rsidRPr="0007763E">
        <w:rPr>
          <w:rFonts w:asciiTheme="majorBidi" w:hAnsiTheme="majorBidi" w:cstheme="majorBidi"/>
          <w:b/>
          <w:bCs/>
          <w:sz w:val="20"/>
          <w:szCs w:val="20"/>
          <w:rtl/>
        </w:rPr>
        <w:t xml:space="preserve"> من الأسباب استرضاء الخلفاء والحكام، والتقرب إليهم بما يوافق هواهم؛ لقد بلغ من بعض النفوس الضعيفة التي أحبت الدنيا، ورغبت في متاعها الزائل أن وضعت الأحاديث، ورأت أن ذلك خير وسيلة للتزلف والتقرب إلى الأمراء، والتقرب إلى الخلفاء؛ لما يوافق هواهم، ويساير رغباتهم؛ بسبب ذلك ما روي عن غياث بن إبراهيم حيث وضع للمهدي في حديث: "لا سبق إلا في نصل أو خف أو حافر أو جناح" فزاد فيه كلمة أو جناح، والحديث أخرجه أصحاب السنن الأربعة، وكان المهدي إذ ذاك يلعب بالحمام؛ فتركها بعد ذلك، وأمر بذبحها، وقال: أنا حملته على ذلك؛ يعني أدرك هذا الأمير أن الحديث زيد فيه، وكذب فيه بزيادة لفظ "أو جناح"، وذكر: أنه لما قام قال هذا الخليفة: أشهد أن قفاك قفا كذاب. </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Pr>
      </w:pPr>
      <w:r w:rsidRPr="0007763E">
        <w:rPr>
          <w:rFonts w:asciiTheme="majorBidi" w:hAnsiTheme="majorBidi" w:cstheme="majorBidi"/>
          <w:b/>
          <w:bCs/>
          <w:sz w:val="20"/>
          <w:szCs w:val="20"/>
          <w:rtl/>
        </w:rPr>
        <w:t>وقد يحمل هذا النوع بعدًا سياسيًّا، كما حكى أبو عبد الله ولي  المهدي، قال: قال لي المهدي: ألا ترى ما يقول لي مقاتل، قال: إن شئت وضعت لك أحاديث في العباس، قال: لا حاجة لي فيها سبحان الله.</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سادسًا:</w:t>
      </w:r>
      <w:r w:rsidRPr="0007763E">
        <w:rPr>
          <w:rFonts w:asciiTheme="majorBidi" w:hAnsiTheme="majorBidi" w:cstheme="majorBidi"/>
          <w:b/>
          <w:bCs/>
          <w:sz w:val="20"/>
          <w:szCs w:val="20"/>
          <w:rtl/>
        </w:rPr>
        <w:t xml:space="preserve"> الترغيب والترهيب مع الرغبة في الخير والجهل بالدين؛ وذلك أن قومًا من العباد والزهاد رأوا الناس قد انصرفوا عن القرآن، فأرادوا أن يصرفوهم إلى القرآن ويعيدوهم إليه، وإن كانت الوسيلة في ذلك غير مشروعة، وتتمثل في الكذب على رسول الله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فقد فعلوا ذلك.</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 xml:space="preserve">ومن أمثلة ما وضع حسبة ما رواه الحاكم بسنده إلى أبي عمار المروزي أنه قال لأبي عصمة نوح بن أبي مريم: من أين لك عن عكرمة عن ابن عباس في فضائل القرآن سورة سورة؟ وليس عند أصحاب عكرمة هذا؟ فقال: إني رأيت الناس قد أعرضوا عن القرآن واشتغلوا بفقه أبي حنيفة ومغازي محمد بن إسحاق؛ فوضعت هذا الحديث حسبة، وكان يقال لأبي عصمة هذا: نوح الجامع، قال ابن حبان: نوح هذا جمع كل شيء إلا الصدق. </w:t>
      </w:r>
    </w:p>
    <w:p w:rsidR="0007763E" w:rsidRPr="0007763E" w:rsidRDefault="0007763E" w:rsidP="0007763E">
      <w:pPr>
        <w:pStyle w:val="a3"/>
        <w:bidi/>
        <w:spacing w:before="0" w:beforeAutospacing="0" w:after="120" w:afterAutospacing="0" w:line="276" w:lineRule="auto"/>
        <w:jc w:val="both"/>
        <w:rPr>
          <w:rFonts w:asciiTheme="majorBidi" w:hAnsiTheme="majorBidi" w:cstheme="majorBidi"/>
          <w:b/>
          <w:bCs/>
          <w:sz w:val="20"/>
          <w:szCs w:val="20"/>
          <w:rtl/>
        </w:rPr>
      </w:pPr>
      <w:r w:rsidRPr="0007763E">
        <w:rPr>
          <w:rFonts w:asciiTheme="majorBidi" w:hAnsiTheme="majorBidi" w:cstheme="majorBidi"/>
          <w:b/>
          <w:bCs/>
          <w:sz w:val="20"/>
          <w:szCs w:val="20"/>
          <w:rtl/>
        </w:rPr>
        <w:lastRenderedPageBreak/>
        <w:t xml:space="preserve">وروى ابن حبان في (الضعفاء) عن ابن مهدي قال: قلت لميسرة بن عبد ربه: من أين جئت بهذه الأحاديث؟ من قرأ كذا فله كذا، ومن قرأ سورة كذا فله كذا؟، قال: وضعتها أرغب الناس، وهذا العمل مع ما فيه من حسن النية إلا أنه مردود غير مقبول؛ لأن النصوص الشرعية فيها من الترغيب والترهيب ما يجعلنا في غنًى عن هذا الكذب على رسول الله  وهذا العمل كأنه استدراك على الله وهو يتنافى مع قول الله </w:t>
      </w:r>
      <w:r w:rsidRPr="0007763E">
        <w:rPr>
          <w:rFonts w:ascii="Tahoma" w:hAnsi="Tahoma" w:cs="DecoType Thuluth" w:hint="cs"/>
          <w:color w:val="008000"/>
          <w:sz w:val="20"/>
          <w:szCs w:val="20"/>
          <w:rtl/>
        </w:rPr>
        <w:t>{</w:t>
      </w:r>
      <w:r w:rsidRPr="0007763E">
        <w:rPr>
          <w:rFonts w:ascii="QCF_P107" w:hAnsi="QCF_P107" w:cs="QCF_P107"/>
          <w:color w:val="008000"/>
          <w:sz w:val="20"/>
          <w:szCs w:val="20"/>
          <w:rtl/>
        </w:rPr>
        <w:t>ﭻ ﭼ ﭽ ﭾ ﭿ ﮀ ﮁ ﮂ ﮃ ﮄ ﮅ</w:t>
      </w:r>
      <w:r w:rsidRPr="0007763E">
        <w:rPr>
          <w:rFonts w:ascii="QCF_P107" w:hAnsi="QCF_P107" w:cs="DecoType Thuluth"/>
          <w:color w:val="008000"/>
          <w:sz w:val="20"/>
          <w:szCs w:val="20"/>
          <w:rtl/>
        </w:rPr>
        <w:t>}</w:t>
      </w:r>
      <w:r w:rsidRPr="0007763E">
        <w:rPr>
          <w:rFonts w:ascii="Tahoma" w:hAnsi="Tahoma" w:cs="AL-Hotham" w:hint="cs"/>
          <w:color w:val="008000"/>
          <w:sz w:val="20"/>
          <w:szCs w:val="20"/>
          <w:rtl/>
        </w:rPr>
        <w:t xml:space="preserve"> </w:t>
      </w:r>
      <w:r w:rsidRPr="0007763E">
        <w:rPr>
          <w:rFonts w:asciiTheme="majorBidi" w:hAnsiTheme="majorBidi" w:cstheme="majorBidi"/>
          <w:b/>
          <w:bCs/>
          <w:sz w:val="20"/>
          <w:szCs w:val="20"/>
          <w:rtl/>
        </w:rPr>
        <w:t>[المائدة: 3].</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 xml:space="preserve">على كل حال أيًّا كان الكذب الكذب للقرآن أو لرسول الله هو كذب على رسول الله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يتناوله عموم الحديث الذي مضى، وقلنا: إنه متواتر: </w:t>
      </w:r>
      <w:r w:rsidRPr="0007763E">
        <w:rPr>
          <w:rFonts w:asciiTheme="majorBidi" w:hAnsiTheme="majorBidi" w:cstheme="majorBidi"/>
          <w:b/>
          <w:bCs/>
          <w:color w:val="0000FF"/>
          <w:sz w:val="20"/>
          <w:szCs w:val="20"/>
          <w:rtl/>
        </w:rPr>
        <w:t>((من كذب علي متعمدًا؛ فليتبوأ مقعده من النار))</w:t>
      </w:r>
      <w:r w:rsidRPr="0007763E">
        <w:rPr>
          <w:rFonts w:asciiTheme="majorBidi" w:hAnsiTheme="majorBidi" w:cstheme="majorBidi"/>
          <w:b/>
          <w:bCs/>
          <w:sz w:val="20"/>
          <w:szCs w:val="20"/>
          <w:rtl/>
        </w:rPr>
        <w:t>.</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سابعًا:</w:t>
      </w:r>
      <w:r w:rsidRPr="0007763E">
        <w:rPr>
          <w:rFonts w:asciiTheme="majorBidi" w:hAnsiTheme="majorBidi" w:cstheme="majorBidi"/>
          <w:b/>
          <w:bCs/>
          <w:sz w:val="20"/>
          <w:szCs w:val="20"/>
          <w:rtl/>
        </w:rPr>
        <w:t xml:space="preserve"> حب الظهور؛ حب الظهور حمل أصحابه على الوضع في الحديث فجعلوا لذي الإسناد الضعيف إسنادًا صحيحًا، وجعل بعضهم الحديث إٍسناده غير إسناده المشهور ليستغرب ويطلب، قال الحاكم أبو عبد الله: ومن هؤلاء إبراهيم بن اليسع، وهو ابن أبي حية كان يحدث عن جعفر الصادق وهشام بن عروة فيركب حديث هذا على حديث ذلك؛ لتستغرب بتلك الأحاديث بتلك الأسانيد، قال: ومنهم حماد بن عمرو النصيحي، وبهلول بن عبيد، وأصغم بن حوشب.</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ثامنًا:</w:t>
      </w:r>
      <w:r w:rsidRPr="0007763E">
        <w:rPr>
          <w:rFonts w:asciiTheme="majorBidi" w:hAnsiTheme="majorBidi" w:cstheme="majorBidi"/>
          <w:b/>
          <w:bCs/>
          <w:sz w:val="20"/>
          <w:szCs w:val="20"/>
          <w:rtl/>
        </w:rPr>
        <w:t xml:space="preserve"> قلب الأحاديث: قال الحافظ ابن حجر: وهذا داخلٌ في قسم المقلوب، نوع من الأحاديث الضعيفة الأحاديث المقلوبة يأخذ سند هذا على الحديث الآخر وسند الحديث الآخر على الحديث الأول، ويقلب هذا وذاك.</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ومن أمثلة ذلك ما ذكره ابن الجوزي في (الموضوعات) فيقول: روى مسلم بن الحجاج: أن يحيى بن أكثم دخل مع أمير المؤمنين حمص فرأى كل من بها شبيه الثيران، فدخل شيخ على رأسه ديبة، وله جبة، فأدناه، وقال: يا شيخ من أنت؟ قال: استغنيت عن جميع الناس بشيخي، قال: ومن لقي شيخك؟ قال الأوزاعي: عن من؟ قال: عن مكحول، قال: ومكحول عن من؟ قال: عن سفيان بن عيينه، قال: وسفيان عن من؟ قال: عن عائشة، قال له يحيى: يا شيخ أراك تعلو إلى أسفل" نقل هذا الحديث ابن الجوزي في (الموضوعات).</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تاسعًا:</w:t>
      </w:r>
      <w:r w:rsidRPr="0007763E">
        <w:rPr>
          <w:rFonts w:asciiTheme="majorBidi" w:hAnsiTheme="majorBidi" w:cstheme="majorBidi"/>
          <w:b/>
          <w:bCs/>
          <w:sz w:val="20"/>
          <w:szCs w:val="20"/>
          <w:rtl/>
        </w:rPr>
        <w:t xml:space="preserve"> طلب الدنيا بذكر غرائب القصص وأعاجيب الروايات يستميلون بها الناس؛ لقد استغل بعض القصاص ميول الفطرة إلى استماع ما كان غريبًا عن الطبائع؛ فكذبوا على رسول الله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ورووا الأعاجيب والغرائب والأشياء التي لا تصدق؛ يستميلون بها الناس.</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روى ابن الجوزي في (الموضوعات) بسنده إلى جعفر بن محمد الطيالسي قال: صلى أحمد بن حنبل ويحيى بن معين في مسجد الرصافة، فقام بين أيديهِم رجل قاص -</w:t>
      </w:r>
      <w:r w:rsidRPr="0007763E">
        <w:rPr>
          <w:rFonts w:asciiTheme="majorBidi" w:hAnsiTheme="majorBidi" w:cstheme="majorBidi"/>
          <w:b/>
          <w:bCs/>
          <w:spacing w:val="-4"/>
          <w:sz w:val="20"/>
          <w:szCs w:val="20"/>
          <w:rtl/>
        </w:rPr>
        <w:t xml:space="preserve">يعني: يذكر قصصًا- فقال: حدثنا أحمد بن حنبل ويحيى بن معين، قالا: حدثنا عبد الرزاق، عن معمر، عن قتادة، عن أنس قال: قال رسول الله </w:t>
      </w:r>
      <w:r w:rsidRPr="0007763E">
        <w:rPr>
          <w:rFonts w:asciiTheme="majorBidi" w:hAnsiTheme="majorBidi" w:cstheme="majorBidi"/>
          <w:b/>
          <w:bCs/>
          <w:spacing w:val="-4"/>
          <w:position w:val="-4"/>
          <w:sz w:val="20"/>
          <w:szCs w:val="20"/>
        </w:rPr>
        <w:t></w:t>
      </w:r>
      <w:r w:rsidRPr="0007763E">
        <w:rPr>
          <w:rFonts w:asciiTheme="majorBidi" w:hAnsiTheme="majorBidi" w:cstheme="majorBidi"/>
          <w:b/>
          <w:bCs/>
          <w:sz w:val="20"/>
          <w:szCs w:val="20"/>
          <w:rtl/>
        </w:rPr>
        <w:t xml:space="preserve">: "من قال لا إله إلا الله؛ خلق الله من كل كلمة منها طيرًا منقاره من ذهب، وريشه من مرجان، وأخذ في قص نحو عشرين ورقة؛ فجعل أحمد بن حنبل ينظر إلى يحيى بن معين الذي قال الراوي </w:t>
      </w:r>
      <w:r w:rsidRPr="0007763E">
        <w:rPr>
          <w:rFonts w:asciiTheme="majorBidi" w:hAnsiTheme="majorBidi" w:cstheme="majorBidi"/>
          <w:b/>
          <w:bCs/>
          <w:sz w:val="20"/>
          <w:szCs w:val="20"/>
          <w:rtl/>
        </w:rPr>
        <w:lastRenderedPageBreak/>
        <w:t xml:space="preserve">هذا: إن الرواية عنهما، وأخذ يحيى ينظر إلى أحمد فقال له: أنت حدثته بهذا؟ قال: والله ما سمعت بهذا إلا الساعة، فلما فرغ من قصصه وأخذ القطيعات، ثم قعد ينتظر بقيتها، قال له يحيى بن معين بيده تعالى؛ فجاء متوهمًا النوال، ظنه سيعطيه من الأموال والعطايا الكثير، فقال له يحيى: من حدثك بهذا الحديث؟ فقال: أحمد بن حنبل ويحيى بن معين، فقال: أنا يحيى بن معين، وهذا أحمد بن حنبل، ما سمعنا بهذا قط في حديث رسول الله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فإن كان لا بد والكذب فعَلَى غيرنا، فقال له: أنت يحيى بن معين؟ قال: نعم، قال: لم أزل أسمع أن يحيى بن معين أحمق ما تحققته إلا هذه الساعة، قال له يحيى: كيف علمت أنني أحمق؟ قال: كأن ليس في الدنيا يحيى بن معين وأحمد بن حنبل غيركما، قد كتبت عن سبعة عشرة أحمد بن حنبل ويحيي بن معين، فوضع أحمد كُمَّهُ على وجهه يغطي وجهه، وقال: دعه يقوم فقام كالمستهزئ بهما.</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sz w:val="20"/>
          <w:szCs w:val="20"/>
          <w:rtl/>
        </w:rPr>
        <w:t>والروايات في هذا كثيرة؛ بعض الذين يكذبون إذا استنكر من يقومه ويصحح كذبه أو يكشف كذبه كان يضرب العالم الذي يصحح له كذبه.</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عاشرًا:</w:t>
      </w:r>
      <w:r w:rsidRPr="0007763E">
        <w:rPr>
          <w:rFonts w:asciiTheme="majorBidi" w:hAnsiTheme="majorBidi" w:cstheme="majorBidi"/>
          <w:b/>
          <w:bCs/>
          <w:sz w:val="20"/>
          <w:szCs w:val="20"/>
          <w:rtl/>
        </w:rPr>
        <w:t xml:space="preserve"> إقامة دليل على ما أفتى؛ قال الإمام السيوطي -رحمه الله-: وهناك درب يلجئون إلى إقامة دليل على ما أفتوا به بآرائهم فيضعون؛ أي: يكذبون، وقيل: إن الحافظ أبا الخطاب بن دحية كان يفعل ذلك؛ وكأنه الذي وضع الحديث في قصر المغرب، ومن ذلك ما رواه ابن الجوزي عن سعيد بن طريف: أنه رأى ابنه يبكي، فقال: ما لك؟ قال: ضربني المعلم، فقال: أما والله لأخزينهم، حدثني عكرمة، عن ابن عباس، عن رسول الله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قال: "معلمو صبيانِكُم شرارُكُم". انظر: (الموضوعات) لابن الجوزي هكذا كانوا يكذبون؛ ليقيموا دليلًا على ما أفتوا به من القول.</w:t>
      </w:r>
    </w:p>
    <w:p w:rsidR="0007763E" w:rsidRPr="0007763E" w:rsidRDefault="0007763E" w:rsidP="0007763E">
      <w:pPr>
        <w:pStyle w:val="a3"/>
        <w:bidi/>
        <w:spacing w:before="0" w:beforeAutospacing="0" w:after="120" w:afterAutospacing="0" w:line="276" w:lineRule="auto"/>
        <w:jc w:val="lowKashida"/>
        <w:rPr>
          <w:rFonts w:asciiTheme="majorBidi" w:hAnsiTheme="majorBidi" w:cstheme="majorBidi"/>
          <w:b/>
          <w:bCs/>
          <w:sz w:val="20"/>
          <w:szCs w:val="20"/>
          <w:rtl/>
        </w:rPr>
      </w:pPr>
      <w:r w:rsidRPr="0007763E">
        <w:rPr>
          <w:rFonts w:asciiTheme="majorBidi" w:hAnsiTheme="majorBidi" w:cstheme="majorBidi"/>
          <w:b/>
          <w:bCs/>
          <w:color w:val="000080"/>
          <w:sz w:val="20"/>
          <w:szCs w:val="20"/>
          <w:rtl/>
          <w:lang w:bidi="ar-EG"/>
        </w:rPr>
        <w:t>حادي عشر:</w:t>
      </w:r>
      <w:r w:rsidRPr="0007763E">
        <w:rPr>
          <w:rFonts w:asciiTheme="majorBidi" w:hAnsiTheme="majorBidi" w:cstheme="majorBidi"/>
          <w:b/>
          <w:bCs/>
          <w:sz w:val="20"/>
          <w:szCs w:val="20"/>
          <w:rtl/>
        </w:rPr>
        <w:t xml:space="preserve"> وهو ما ذكره الإمام السيوطي بقوله: وهناك درب امتحنوا بأولادهم أو ربائب أو وراقين فوضعوا لهم أحاديث ودسوها عليهم، فحدثوا بها من غير أن يشعروا كعبد الله بن محمد بن ربيعة القدامي، وكحماد بن سلمة ابتلي بربيبه ابن أبي العرجاء؛ فكان يدس في كتبه، وكعمر كان له ابن أخ رافضي فدس في كتبه حديثًا عن الزهري عن عبيد الله بن عبد الله بن عباس قال: نظر النبي </w:t>
      </w:r>
      <w:r w:rsidRPr="0007763E">
        <w:rPr>
          <w:rFonts w:asciiTheme="majorBidi" w:hAnsiTheme="majorBidi" w:cstheme="majorBidi"/>
          <w:b/>
          <w:bCs/>
          <w:position w:val="-4"/>
          <w:sz w:val="20"/>
          <w:szCs w:val="20"/>
        </w:rPr>
        <w:t></w:t>
      </w:r>
      <w:r w:rsidRPr="0007763E">
        <w:rPr>
          <w:rFonts w:asciiTheme="majorBidi" w:hAnsiTheme="majorBidi" w:cstheme="majorBidi"/>
          <w:b/>
          <w:bCs/>
          <w:sz w:val="20"/>
          <w:szCs w:val="20"/>
          <w:rtl/>
        </w:rPr>
        <w:t xml:space="preserve"> إلى علي، فقال: "أنت سيد في الدنيا، وسيد في الآخرة، ومن أحبك فقد أحبني، وحبيبي حبيب الله وعدوك عدوي، وعدوي عدو الله، والويل لمن أبغضك بعدي". فحدث به عبد الرزاق عن معمر وهو باطل موضوع. كما قال ابن معين.</w:t>
      </w:r>
    </w:p>
    <w:p w:rsidR="0007763E" w:rsidRPr="0007763E" w:rsidRDefault="0007763E" w:rsidP="0007763E">
      <w:pPr>
        <w:rPr>
          <w:rFonts w:asciiTheme="majorBidi" w:hAnsiTheme="majorBidi" w:cstheme="majorBidi"/>
          <w:b/>
          <w:bCs/>
          <w:i/>
          <w:iCs/>
          <w:sz w:val="20"/>
          <w:szCs w:val="20"/>
          <w:rtl/>
        </w:rPr>
      </w:pPr>
      <w:r w:rsidRPr="0007763E">
        <w:rPr>
          <w:rFonts w:asciiTheme="majorBidi" w:hAnsiTheme="majorBidi" w:cstheme="majorBidi"/>
          <w:b/>
          <w:bCs/>
          <w:sz w:val="20"/>
          <w:szCs w:val="20"/>
          <w:rtl/>
        </w:rPr>
        <w:t>هذه هي الأسباب حول الوضع وأسباب انتشاره في التفسير وفي كتب التفسير في بالمأثور على وجه الخصوص.</w:t>
      </w:r>
    </w:p>
    <w:p w:rsidR="00545796" w:rsidRDefault="00545796" w:rsidP="0007763E">
      <w:pPr>
        <w:spacing w:after="120"/>
        <w:jc w:val="center"/>
        <w:rPr>
          <w:rFonts w:asciiTheme="majorBidi" w:hAnsiTheme="majorBidi" w:cstheme="majorBidi"/>
          <w:b/>
          <w:bCs/>
          <w:sz w:val="20"/>
          <w:szCs w:val="20"/>
          <w:rtl/>
        </w:rPr>
      </w:pPr>
    </w:p>
    <w:p w:rsidR="0007763E" w:rsidRPr="0007763E" w:rsidRDefault="0007763E" w:rsidP="0007763E">
      <w:pPr>
        <w:spacing w:after="120"/>
        <w:jc w:val="center"/>
        <w:rPr>
          <w:rFonts w:asciiTheme="majorBidi" w:hAnsiTheme="majorBidi" w:cstheme="majorBidi"/>
          <w:b/>
          <w:bCs/>
          <w:sz w:val="20"/>
          <w:szCs w:val="20"/>
          <w:rtl/>
        </w:rPr>
      </w:pPr>
      <w:r w:rsidRPr="0007763E">
        <w:rPr>
          <w:rFonts w:asciiTheme="majorBidi" w:hAnsiTheme="majorBidi" w:cstheme="majorBidi"/>
          <w:b/>
          <w:bCs/>
          <w:sz w:val="20"/>
          <w:szCs w:val="20"/>
          <w:rtl/>
        </w:rPr>
        <w:t>المصادر والمراجع</w:t>
      </w:r>
    </w:p>
    <w:p w:rsidR="0007763E" w:rsidRPr="0007763E" w:rsidRDefault="0007763E" w:rsidP="0007763E">
      <w:pPr>
        <w:numPr>
          <w:ilvl w:val="0"/>
          <w:numId w:val="2"/>
        </w:numPr>
        <w:spacing w:after="120"/>
        <w:jc w:val="both"/>
        <w:rPr>
          <w:rFonts w:asciiTheme="majorBidi" w:hAnsiTheme="majorBidi" w:cstheme="majorBidi"/>
          <w:b/>
          <w:bCs/>
          <w:sz w:val="20"/>
          <w:szCs w:val="20"/>
          <w:rtl/>
        </w:rPr>
      </w:pPr>
      <w:r w:rsidRPr="0007763E">
        <w:rPr>
          <w:rFonts w:asciiTheme="majorBidi" w:hAnsiTheme="majorBidi" w:cstheme="majorBidi"/>
          <w:b/>
          <w:bCs/>
          <w:sz w:val="20"/>
          <w:szCs w:val="20"/>
          <w:rtl/>
        </w:rPr>
        <w:t>المحمدي عبد الرحمن، (الدخيل في التفسير) ، القاهرة،  جامعة الأزهر، مطبعة حسان، 2009م.</w:t>
      </w:r>
    </w:p>
    <w:p w:rsidR="0007763E" w:rsidRPr="0007763E" w:rsidRDefault="0007763E" w:rsidP="0007763E">
      <w:pPr>
        <w:numPr>
          <w:ilvl w:val="0"/>
          <w:numId w:val="2"/>
        </w:numPr>
        <w:spacing w:after="120"/>
        <w:jc w:val="both"/>
        <w:rPr>
          <w:rFonts w:asciiTheme="majorBidi" w:hAnsiTheme="majorBidi" w:cstheme="majorBidi"/>
          <w:b/>
          <w:bCs/>
          <w:sz w:val="20"/>
          <w:szCs w:val="20"/>
          <w:rtl/>
        </w:rPr>
      </w:pPr>
      <w:r w:rsidRPr="0007763E">
        <w:rPr>
          <w:rFonts w:asciiTheme="majorBidi" w:hAnsiTheme="majorBidi" w:cstheme="majorBidi"/>
          <w:b/>
          <w:bCs/>
          <w:sz w:val="20"/>
          <w:szCs w:val="20"/>
          <w:rtl/>
        </w:rPr>
        <w:t>الذهبي، محمد حسين الذهبي،  (التفسير والمفسرون) ، طبعة دار الأرقم، 1999م.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الذهبي، محمد حسين الذهبي،  (الإسرائيليات في التفسير والحديث) ، طبعة مكتبة وهبة، 1990م.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 xml:space="preserve">شليوه، سمير شليوه،  (الدخيل والإسرائيليات) ، القاهرة، جامعة الأزهر </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الشهرستاني، محمد بن عبد الكريم الشهرستاني،  (الملل والنحل) ، طبعة دار الفكر، 2001م.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محمد الخضر حسين، (البابية أو البهائية) ،مجمع البحوث الإسلامية</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07763E" w:rsidRPr="0007763E" w:rsidRDefault="0007763E" w:rsidP="0007763E">
      <w:pPr>
        <w:numPr>
          <w:ilvl w:val="0"/>
          <w:numId w:val="2"/>
        </w:numPr>
        <w:spacing w:after="120"/>
        <w:jc w:val="both"/>
        <w:rPr>
          <w:rFonts w:asciiTheme="majorBidi" w:hAnsiTheme="majorBidi" w:cstheme="majorBidi"/>
          <w:b/>
          <w:bCs/>
          <w:sz w:val="20"/>
          <w:szCs w:val="20"/>
          <w:rtl/>
        </w:rPr>
      </w:pPr>
      <w:r w:rsidRPr="0007763E">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07763E" w:rsidRPr="0007763E" w:rsidRDefault="0007763E" w:rsidP="0007763E">
      <w:pPr>
        <w:numPr>
          <w:ilvl w:val="0"/>
          <w:numId w:val="2"/>
        </w:numPr>
        <w:spacing w:after="120"/>
        <w:jc w:val="both"/>
        <w:rPr>
          <w:rFonts w:asciiTheme="majorBidi" w:hAnsiTheme="majorBidi" w:cstheme="majorBidi"/>
          <w:b/>
          <w:bCs/>
          <w:sz w:val="20"/>
          <w:szCs w:val="20"/>
        </w:rPr>
      </w:pPr>
      <w:r w:rsidRPr="0007763E">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07763E" w:rsidRDefault="0007763E" w:rsidP="0007763E">
      <w:pPr>
        <w:rPr>
          <w:i/>
          <w:iCs/>
          <w:rtl/>
        </w:rPr>
        <w:sectPr w:rsidR="0007763E" w:rsidSect="0007763E">
          <w:type w:val="continuous"/>
          <w:pgSz w:w="11906" w:h="16838"/>
          <w:pgMar w:top="964" w:right="1021" w:bottom="964" w:left="1021" w:header="709" w:footer="709" w:gutter="0"/>
          <w:cols w:num="2" w:space="708"/>
          <w:bidi/>
          <w:rtlGutter/>
          <w:docGrid w:linePitch="360"/>
        </w:sectPr>
      </w:pPr>
    </w:p>
    <w:p w:rsidR="0007763E" w:rsidRPr="0007763E" w:rsidRDefault="0007763E" w:rsidP="0007763E">
      <w:pPr>
        <w:rPr>
          <w:i/>
          <w:iCs/>
        </w:rPr>
      </w:pPr>
    </w:p>
    <w:sectPr w:rsidR="0007763E" w:rsidRPr="0007763E" w:rsidSect="0007763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0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BBA308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07763E"/>
    <w:rsid w:val="0007763E"/>
    <w:rsid w:val="00261428"/>
    <w:rsid w:val="00514443"/>
    <w:rsid w:val="00545796"/>
    <w:rsid w:val="0056467A"/>
    <w:rsid w:val="009556CB"/>
    <w:rsid w:val="00A76451"/>
    <w:rsid w:val="00BF7572"/>
    <w:rsid w:val="00C360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07763E"/>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07763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7763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2013-06-20T07:20:00Z</dcterms:created>
  <dcterms:modified xsi:type="dcterms:W3CDTF">2013-06-26T08:31:00Z</dcterms:modified>
</cp:coreProperties>
</file>