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FC67D9" w:rsidP="00FC67D9">
      <w:pPr>
        <w:spacing w:line="240" w:lineRule="auto"/>
        <w:jc w:val="center"/>
        <w:rPr>
          <w:i/>
          <w:iCs/>
          <w:rtl/>
        </w:rPr>
      </w:pPr>
      <w:r w:rsidRPr="00FC67D9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بعض مواقف موسى</w:t>
      </w:r>
      <w:r w:rsidRPr="00FC67D9">
        <w:rPr>
          <w:rFonts w:ascii="Calibri" w:eastAsia="Calibri" w:hAnsi="Calibri" w:cs="AGA Rasheeq Bold" w:hint="cs"/>
          <w:i/>
          <w:iCs/>
          <w:sz w:val="48"/>
          <w:szCs w:val="48"/>
          <w:rtl/>
        </w:rPr>
        <w:t xml:space="preserve"> </w:t>
      </w:r>
      <w:r w:rsidRPr="00FC67D9">
        <w:rPr>
          <w:rFonts w:ascii="Calibri" w:eastAsia="Calibri" w:hAnsi="Calibri" w:cs="SC_ALYERMOOK" w:hint="cs"/>
          <w:i/>
          <w:iCs/>
          <w:position w:val="-4"/>
          <w:sz w:val="48"/>
          <w:szCs w:val="48"/>
          <w:rtl/>
        </w:rPr>
        <w:t>#</w:t>
      </w:r>
      <w:r w:rsidRPr="00FC67D9">
        <w:rPr>
          <w:rFonts w:ascii="Calibri" w:eastAsia="Calibri" w:hAnsi="Calibri" w:cs="AGA Rasheeq Bold" w:hint="cs"/>
          <w:i/>
          <w:iCs/>
          <w:sz w:val="48"/>
          <w:szCs w:val="48"/>
          <w:rtl/>
        </w:rPr>
        <w:t xml:space="preserve"> </w:t>
      </w:r>
      <w:r w:rsidRPr="00FC67D9">
        <w:rPr>
          <w:rFonts w:asciiTheme="majorBidi" w:eastAsia="Calibri" w:hAnsiTheme="majorBidi" w:cstheme="majorBidi"/>
          <w:i/>
          <w:iCs/>
          <w:sz w:val="48"/>
          <w:szCs w:val="48"/>
          <w:rtl/>
        </w:rPr>
        <w:t>مع فرعون</w:t>
      </w:r>
    </w:p>
    <w:p w:rsidR="00FC67D9" w:rsidRPr="009264EA" w:rsidRDefault="00FC67D9" w:rsidP="00FC67D9">
      <w:pPr>
        <w:pStyle w:val="papersubtitle"/>
        <w:bidi/>
        <w:rPr>
          <w:i/>
          <w:iCs/>
          <w:rtl/>
        </w:rPr>
      </w:pPr>
      <w:r w:rsidRPr="009264EA">
        <w:rPr>
          <w:i/>
          <w:iCs/>
          <w:rtl/>
        </w:rPr>
        <w:t xml:space="preserve">بحث  فى </w:t>
      </w:r>
      <w:r>
        <w:rPr>
          <w:rFonts w:hint="cs"/>
          <w:i/>
          <w:iCs/>
          <w:rtl/>
        </w:rPr>
        <w:t>الدخيل فى التفسير</w:t>
      </w:r>
    </w:p>
    <w:p w:rsidR="00FC67D9" w:rsidRPr="009264EA" w:rsidRDefault="00FC67D9" w:rsidP="00A90D16">
      <w:pPr>
        <w:pStyle w:val="papersubtitle"/>
        <w:bidi/>
        <w:rPr>
          <w:i/>
          <w:iCs/>
          <w:sz w:val="24"/>
          <w:szCs w:val="24"/>
        </w:rPr>
      </w:pPr>
      <w:r w:rsidRPr="009264EA">
        <w:rPr>
          <w:i/>
          <w:iCs/>
          <w:sz w:val="24"/>
          <w:szCs w:val="24"/>
          <w:rtl/>
        </w:rPr>
        <w:t xml:space="preserve">إعداد أ/ </w:t>
      </w:r>
      <w:r w:rsidR="00A90D16" w:rsidRPr="00A90D16">
        <w:rPr>
          <w:i/>
          <w:iCs/>
          <w:sz w:val="24"/>
          <w:szCs w:val="24"/>
          <w:rtl/>
          <w:lang w:bidi="ar-EG"/>
        </w:rPr>
        <w:t>عادل محمد فتحي</w:t>
      </w:r>
    </w:p>
    <w:p w:rsidR="00FC67D9" w:rsidRPr="009264EA" w:rsidRDefault="00FC67D9" w:rsidP="00FC67D9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قسم</w:t>
      </w:r>
      <w:r>
        <w:rPr>
          <w:rFonts w:hint="cs"/>
          <w:i/>
          <w:iCs/>
          <w:sz w:val="22"/>
          <w:szCs w:val="22"/>
          <w:rtl/>
        </w:rPr>
        <w:t xml:space="preserve"> التفسير وعلوم القراَن</w:t>
      </w:r>
    </w:p>
    <w:p w:rsidR="00FC67D9" w:rsidRPr="009264EA" w:rsidRDefault="00FC67D9" w:rsidP="00FC67D9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كلية ال</w:t>
      </w:r>
      <w:r w:rsidRPr="009264EA">
        <w:rPr>
          <w:rFonts w:hint="cs"/>
          <w:i/>
          <w:iCs/>
          <w:sz w:val="22"/>
          <w:szCs w:val="22"/>
          <w:rtl/>
        </w:rPr>
        <w:t>علوم الإسلامية</w:t>
      </w:r>
      <w:r w:rsidRPr="009264EA">
        <w:rPr>
          <w:i/>
          <w:iCs/>
          <w:sz w:val="22"/>
          <w:szCs w:val="22"/>
          <w:rtl/>
        </w:rPr>
        <w:t xml:space="preserve"> – جامعة المدينة العالمية</w:t>
      </w:r>
    </w:p>
    <w:p w:rsidR="00FC67D9" w:rsidRPr="009264EA" w:rsidRDefault="00FC67D9" w:rsidP="00FC67D9">
      <w:pPr>
        <w:pStyle w:val="papersubtitle"/>
        <w:bidi/>
        <w:rPr>
          <w:i/>
          <w:iCs/>
          <w:sz w:val="22"/>
          <w:szCs w:val="22"/>
          <w:rtl/>
        </w:rPr>
      </w:pPr>
      <w:r w:rsidRPr="009264EA">
        <w:rPr>
          <w:i/>
          <w:iCs/>
          <w:sz w:val="22"/>
          <w:szCs w:val="22"/>
          <w:rtl/>
        </w:rPr>
        <w:t>شاه علم – ماليزيا</w:t>
      </w:r>
    </w:p>
    <w:p w:rsidR="00FC67D9" w:rsidRDefault="00A90D16" w:rsidP="00FC67D9">
      <w:pPr>
        <w:spacing w:line="240" w:lineRule="auto"/>
        <w:jc w:val="center"/>
        <w:rPr>
          <w:rFonts w:ascii="Calibri" w:hAnsi="Calibri" w:cs="AL-Mateen"/>
          <w:sz w:val="32"/>
          <w:szCs w:val="32"/>
          <w:lang w:bidi="ar-EG"/>
        </w:rPr>
      </w:pPr>
      <w:r w:rsidRPr="00A90D16">
        <w:rPr>
          <w:rFonts w:asciiTheme="majorBidi" w:hAnsiTheme="majorBidi" w:cs="AL-Hotham"/>
          <w:i/>
          <w:iCs/>
          <w:lang w:bidi="ar-EG"/>
        </w:rPr>
        <w:t>adel.mater@mediu.edu.my</w:t>
      </w:r>
    </w:p>
    <w:p w:rsidR="00FC67D9" w:rsidRDefault="00FC67D9" w:rsidP="00FC67D9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  <w:sectPr w:rsidR="00FC67D9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FC67D9" w:rsidRPr="00FC67D9" w:rsidRDefault="00FC67D9" w:rsidP="00FC67D9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خلاصة ـــ هذا البحث يبحث في </w:t>
      </w:r>
      <w:r w:rsidRPr="00FC67D9">
        <w:rPr>
          <w:rFonts w:asciiTheme="majorBidi" w:eastAsia="Calibri" w:hAnsiTheme="majorBidi" w:cstheme="majorBidi"/>
          <w:b/>
          <w:bCs/>
          <w:sz w:val="20"/>
          <w:szCs w:val="20"/>
          <w:rtl/>
        </w:rPr>
        <w:t xml:space="preserve">بعض مواقف موسى </w:t>
      </w:r>
      <w:r w:rsidRPr="00FC67D9">
        <w:rPr>
          <w:rFonts w:asciiTheme="majorBidi" w:eastAsia="Calibri" w:hAnsiTheme="majorBidi" w:cstheme="majorBidi"/>
          <w:b/>
          <w:bCs/>
          <w:position w:val="-4"/>
          <w:sz w:val="20"/>
          <w:szCs w:val="20"/>
          <w:rtl/>
        </w:rPr>
        <w:t>#</w:t>
      </w:r>
      <w:r w:rsidRPr="00FC67D9">
        <w:rPr>
          <w:rFonts w:asciiTheme="majorBidi" w:eastAsia="Calibri" w:hAnsiTheme="majorBidi" w:cstheme="majorBidi"/>
          <w:b/>
          <w:bCs/>
          <w:sz w:val="20"/>
          <w:szCs w:val="20"/>
          <w:rtl/>
        </w:rPr>
        <w:t xml:space="preserve"> مع فرعون</w:t>
      </w:r>
    </w:p>
    <w:p w:rsidR="00FC67D9" w:rsidRPr="00FC67D9" w:rsidRDefault="00FC67D9" w:rsidP="00FC67D9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الكلمات المفتاحية : فرعون ، المواقف ،</w:t>
      </w:r>
      <w:r w:rsidRPr="00FC67D9">
        <w:rPr>
          <w:rFonts w:asciiTheme="majorBidi" w:hAnsiTheme="majorBidi" w:cstheme="majorBidi"/>
          <w:b/>
          <w:bCs/>
          <w:spacing w:val="-8"/>
          <w:sz w:val="20"/>
          <w:szCs w:val="20"/>
          <w:rtl/>
        </w:rPr>
        <w:t xml:space="preserve"> الإسرائيليات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:rsidR="00FC67D9" w:rsidRPr="00FC67D9" w:rsidRDefault="00FC67D9" w:rsidP="00FC67D9">
      <w:pPr>
        <w:pStyle w:val="a4"/>
        <w:numPr>
          <w:ilvl w:val="0"/>
          <w:numId w:val="1"/>
        </w:num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المقدمة</w:t>
      </w:r>
    </w:p>
    <w:p w:rsidR="00FC67D9" w:rsidRPr="00FC67D9" w:rsidRDefault="00FC67D9" w:rsidP="00FC67D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FC67D9">
        <w:rPr>
          <w:rFonts w:asciiTheme="majorBidi" w:eastAsia="Calibri" w:hAnsiTheme="majorBidi" w:cstheme="majorBidi"/>
          <w:b/>
          <w:bCs/>
          <w:sz w:val="20"/>
          <w:szCs w:val="20"/>
          <w:rtl/>
        </w:rPr>
        <w:t xml:space="preserve">بعض مواقف موسى </w:t>
      </w:r>
      <w:r w:rsidRPr="00FC67D9">
        <w:rPr>
          <w:rFonts w:asciiTheme="majorBidi" w:eastAsia="Calibri" w:hAnsiTheme="majorBidi" w:cstheme="majorBidi"/>
          <w:b/>
          <w:bCs/>
          <w:position w:val="-4"/>
          <w:sz w:val="20"/>
          <w:szCs w:val="20"/>
          <w:rtl/>
        </w:rPr>
        <w:t>#</w:t>
      </w:r>
      <w:r w:rsidRPr="00FC67D9">
        <w:rPr>
          <w:rFonts w:asciiTheme="majorBidi" w:eastAsia="Calibri" w:hAnsiTheme="majorBidi" w:cstheme="majorBidi"/>
          <w:b/>
          <w:bCs/>
          <w:sz w:val="20"/>
          <w:szCs w:val="20"/>
          <w:rtl/>
        </w:rPr>
        <w:t xml:space="preserve"> مع فرعون</w:t>
      </w:r>
    </w:p>
    <w:p w:rsidR="00FC67D9" w:rsidRPr="00FC67D9" w:rsidRDefault="00FC67D9" w:rsidP="00FC67D9">
      <w:pPr>
        <w:pStyle w:val="a3"/>
        <w:numPr>
          <w:ilvl w:val="0"/>
          <w:numId w:val="1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عنوان المقال</w:t>
      </w:r>
    </w:p>
    <w:p w:rsidR="00FC67D9" w:rsidRPr="00FC67D9" w:rsidRDefault="00FC67D9" w:rsidP="00FC67D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موقف آخر مع موسى وفرعون، وما حدث من المواقف بينهما والعصا والثعبان المبين... إلى آخره: </w:t>
      </w:r>
    </w:p>
    <w:p w:rsidR="00FC67D9" w:rsidRPr="00FC67D9" w:rsidRDefault="00FC67D9" w:rsidP="00FC67D9">
      <w:pPr>
        <w:pStyle w:val="a3"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pacing w:val="-8"/>
          <w:sz w:val="20"/>
          <w:szCs w:val="20"/>
          <w:rtl/>
        </w:rPr>
        <w:t>الإسرائيليات في قصة موسى مع فرعون مع أول لقائه به حتى عبر البحر ببني إسرائيل: في قوله تعالى:</w:t>
      </w:r>
      <w:r w:rsidRPr="00FC67D9">
        <w:rPr>
          <w:rFonts w:ascii="Tahoma" w:hAnsi="Tahoma" w:cs="DecoType Thuluth" w:hint="cs"/>
          <w:color w:val="008000"/>
          <w:spacing w:val="-8"/>
          <w:sz w:val="20"/>
          <w:szCs w:val="20"/>
          <w:rtl/>
        </w:rPr>
        <w:t xml:space="preserve"> {</w:t>
      </w:r>
      <w:r w:rsidRPr="00FC67D9">
        <w:rPr>
          <w:rFonts w:ascii="QCF_P164" w:hAnsi="QCF_P164" w:cs="QCF_P164"/>
          <w:color w:val="008000"/>
          <w:spacing w:val="-8"/>
          <w:sz w:val="20"/>
          <w:szCs w:val="20"/>
          <w:rtl/>
        </w:rPr>
        <w:t>ﭥ ﭦ ﭧ ﭨ ﭩ ﭪ ﭫ ﭬ ﭭ ﭮ ﭯ ﭰ</w:t>
      </w:r>
      <w:r w:rsidRPr="00FC67D9">
        <w:rPr>
          <w:rFonts w:ascii="QCF_BSML" w:hAnsi="QCF_BSML" w:cs="QCF_BSML" w:hint="cs"/>
          <w:color w:val="008000"/>
          <w:sz w:val="20"/>
          <w:szCs w:val="20"/>
          <w:rtl/>
        </w:rPr>
        <w:t xml:space="preserve">  </w:t>
      </w:r>
      <w:r w:rsidRPr="00FC67D9">
        <w:rPr>
          <w:rFonts w:ascii="QCF_P164" w:hAnsi="QCF_P164" w:cs="QCF_P164" w:hint="cs"/>
          <w:color w:val="008000"/>
          <w:sz w:val="20"/>
          <w:szCs w:val="20"/>
          <w:rtl/>
        </w:rPr>
        <w:t xml:space="preserve"> </w:t>
      </w:r>
      <w:r w:rsidRPr="00FC67D9">
        <w:rPr>
          <w:rFonts w:ascii="QCF_P164" w:hAnsi="QCF_P164" w:cs="QCF_P164"/>
          <w:color w:val="008000"/>
          <w:sz w:val="20"/>
          <w:szCs w:val="20"/>
          <w:rtl/>
        </w:rPr>
        <w:t xml:space="preserve"> ﭲ ﭳ ﭴ ﭵ ﭶ ﭷ</w:t>
      </w:r>
      <w:r w:rsidRPr="00FC67D9">
        <w:rPr>
          <w:rFonts w:ascii="QCF_P164" w:hAnsi="QCF_P164" w:cs="QCF_P164" w:hint="cs"/>
          <w:color w:val="008000"/>
          <w:sz w:val="20"/>
          <w:szCs w:val="20"/>
          <w:rtl/>
        </w:rPr>
        <w:t xml:space="preserve"> </w:t>
      </w:r>
      <w:r w:rsidRPr="00FC67D9">
        <w:rPr>
          <w:rFonts w:ascii="QCF_P164" w:hAnsi="QCF_P164" w:cs="QCF_P164"/>
          <w:color w:val="008000"/>
          <w:sz w:val="20"/>
          <w:szCs w:val="20"/>
          <w:rtl/>
        </w:rPr>
        <w:t>ﭸ ﭹ ﭺ ﭻ ﭼ ﭽ</w:t>
      </w:r>
      <w:r w:rsidRPr="00FC67D9">
        <w:rPr>
          <w:rFonts w:ascii="QCF_P164" w:hAnsi="QCF_P164" w:cs="DecoType Thuluth"/>
          <w:color w:val="008000"/>
          <w:sz w:val="20"/>
          <w:szCs w:val="20"/>
          <w:rtl/>
        </w:rPr>
        <w:t>}</w:t>
      </w:r>
      <w:r w:rsidRPr="00FC67D9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[الأعراف: 106- 108].</w:t>
      </w:r>
    </w:p>
    <w:p w:rsidR="00FC67D9" w:rsidRPr="00FC67D9" w:rsidRDefault="00FC67D9" w:rsidP="00FC67D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وردت روايات في الثعبان تفيد أنه كان ذكرًا فاغرًا فاه بين لحييه ثمانون ذراعًا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وضع لحية الأسفل في الأرض والأعلى على سور القصر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ثم توجه فرعون فهرب وأحدث ولم يكن أحدث قبل ذلك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وحمل على الناس فمات منهم خمسة وعشرون ألفًا، قتل بعضهم بعضًا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وصاح فرعون: يا موسى يا موسى خذه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وأنا أؤمن بك، فأخذه موسى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فعاد عصى. كلام مذكور في النسفي و(الكشاف) وكتب التفسير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ولا شك أن هذه روايات كلها إسرائيليات، والقرآن الكريم فيه غنًى عن مثل هذه الإسرائيليات.</w:t>
      </w:r>
    </w:p>
    <w:p w:rsidR="00FC67D9" w:rsidRPr="00FC67D9" w:rsidRDefault="00FC67D9" w:rsidP="00FC67D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وترى أيضًا مما نقل قال وهب بن منبه: لما دخل موسى على فرعون قال له فرعون: أعرفك؟ قال: نعم، قال: ألم نربك فينا وليدًا، قال: فرد إليه موسى الذي رد قال فرعون: خذوه، فبادره موسى فألقى عصاه فإذا هي ثعبان مبين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فحملت على الناس فانهزموا منها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فمات منهم خمسة وعشرون ألفًا، قتل بعضهم بعضًا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وقام فرعون منهزمًا حتى دخل البيت. كل هذا كلام قال عنه ابن الكثير: فيه غرابة في سياقه. وهذه الرواية إسرائيلية إذ إن من رواتها السدي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وهو معروف بالكذب.</w:t>
      </w:r>
    </w:p>
    <w:p w:rsidR="00FC67D9" w:rsidRPr="00FC67D9" w:rsidRDefault="00FC67D9" w:rsidP="00FC67D9">
      <w:pPr>
        <w:pStyle w:val="a3"/>
        <w:bidi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lang w:bidi="ar-EG"/>
        </w:rPr>
      </w:pPr>
      <w:r w:rsidRPr="00FC67D9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 xml:space="preserve">بياض يد موسى </w:t>
      </w:r>
      <w:r w:rsidRPr="00FC67D9">
        <w:rPr>
          <w:rFonts w:asciiTheme="majorBidi" w:hAnsiTheme="majorBidi" w:cstheme="majorBidi"/>
          <w:b/>
          <w:bCs/>
          <w:color w:val="000080"/>
          <w:position w:val="-4"/>
          <w:sz w:val="20"/>
          <w:szCs w:val="20"/>
          <w:rtl/>
          <w:lang w:bidi="ar-EG"/>
        </w:rPr>
        <w:t>#</w:t>
      </w:r>
      <w:r w:rsidRPr="00FC67D9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:</w:t>
      </w:r>
    </w:p>
    <w:p w:rsidR="00FC67D9" w:rsidRPr="00FC67D9" w:rsidRDefault="00FC67D9" w:rsidP="00FC67D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ورد فيها كلام كثير ذكر الإمام النسفي أن بياض يد موسى غلب شعاع الشمس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وهذا من الإسرائيليات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ويكفي ما ذكر القرآن الكريم أنها: </w:t>
      </w:r>
      <w:r w:rsidRPr="00FC67D9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FC67D9">
        <w:rPr>
          <w:rFonts w:ascii="QCF_P313" w:hAnsi="QCF_P313" w:cs="QCF_P313"/>
          <w:color w:val="008000"/>
          <w:sz w:val="20"/>
          <w:szCs w:val="20"/>
          <w:rtl/>
        </w:rPr>
        <w:t>ﮤ ﮥ ﮦ ﮧ</w:t>
      </w:r>
      <w:r w:rsidRPr="00FC67D9">
        <w:rPr>
          <w:rFonts w:ascii="QCF_P313" w:hAnsi="QCF_P313" w:cs="DecoType Thuluth"/>
          <w:color w:val="008000"/>
          <w:sz w:val="20"/>
          <w:szCs w:val="20"/>
          <w:rtl/>
        </w:rPr>
        <w:t>}</w:t>
      </w:r>
      <w:r w:rsidRPr="00FC67D9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[طه: 22].</w:t>
      </w:r>
    </w:p>
    <w:p w:rsidR="00FC67D9" w:rsidRPr="00FC67D9" w:rsidRDefault="00FC67D9" w:rsidP="00FC67D9">
      <w:pPr>
        <w:pStyle w:val="a3"/>
        <w:bidi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lang w:bidi="ar-EG"/>
        </w:rPr>
      </w:pPr>
      <w:r w:rsidRPr="00FC67D9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 xml:space="preserve">إسراء موسى ببني إسرائيل، وأين ذهبوا، وماذا حال ألواح التوراة، والكلام عن غضب موسى </w:t>
      </w:r>
      <w:r w:rsidRPr="00FC67D9">
        <w:rPr>
          <w:rFonts w:asciiTheme="majorBidi" w:hAnsiTheme="majorBidi" w:cstheme="majorBidi"/>
          <w:b/>
          <w:bCs/>
          <w:color w:val="000080"/>
          <w:position w:val="-4"/>
          <w:sz w:val="20"/>
          <w:szCs w:val="20"/>
          <w:rtl/>
          <w:lang w:bidi="ar-EG"/>
        </w:rPr>
        <w:t>#</w:t>
      </w:r>
      <w:r w:rsidRPr="00FC67D9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؟:</w:t>
      </w:r>
    </w:p>
    <w:p w:rsidR="00FC67D9" w:rsidRPr="00FC67D9" w:rsidRDefault="00FC67D9" w:rsidP="00FC67D9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>قال تعالى:</w:t>
      </w:r>
      <w:r w:rsidRPr="00FC67D9">
        <w:rPr>
          <w:rFonts w:asciiTheme="majorBidi" w:hAnsiTheme="majorBidi" w:cstheme="majorBidi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FC67D9">
        <w:rPr>
          <w:rFonts w:ascii="Tahoma" w:hAnsi="Tahoma" w:cs="DecoType Thuluth" w:hint="cs"/>
          <w:color w:val="008000"/>
          <w:spacing w:val="-4"/>
          <w:sz w:val="20"/>
          <w:szCs w:val="20"/>
          <w:rtl/>
        </w:rPr>
        <w:t>{</w:t>
      </w:r>
      <w:r w:rsidRPr="00FC67D9">
        <w:rPr>
          <w:rFonts w:ascii="QCF_P369" w:hAnsi="QCF_P369" w:cs="QCF_P369"/>
          <w:color w:val="008000"/>
          <w:spacing w:val="-4"/>
          <w:sz w:val="20"/>
          <w:szCs w:val="20"/>
          <w:rtl/>
        </w:rPr>
        <w:t>ﯤ ﯥ ﯦ ﯧ ﯨ ﯩ ﯪ ﯫ ﯬ</w:t>
      </w:r>
      <w:r w:rsidRPr="00FC67D9">
        <w:rPr>
          <w:rFonts w:ascii="QCF_BSML" w:hAnsi="QCF_BSML" w:cs="QCF_BSML" w:hint="cs"/>
          <w:color w:val="008000"/>
          <w:spacing w:val="-4"/>
          <w:sz w:val="20"/>
          <w:szCs w:val="20"/>
          <w:rtl/>
        </w:rPr>
        <w:t xml:space="preserve"> </w:t>
      </w:r>
      <w:r w:rsidRPr="00FC67D9">
        <w:rPr>
          <w:rFonts w:ascii="QCF_P369" w:hAnsi="QCF_P369" w:cs="QCF_P369"/>
          <w:color w:val="008000"/>
          <w:spacing w:val="-4"/>
          <w:sz w:val="20"/>
          <w:szCs w:val="20"/>
          <w:rtl/>
        </w:rPr>
        <w:t>ﯭ ﯮ ﯯ ﯰ ﯱ ﯲ</w:t>
      </w:r>
      <w:r w:rsidRPr="00FC67D9">
        <w:rPr>
          <w:rFonts w:ascii="QCF_BSML" w:hAnsi="QCF_BSML" w:cs="QCF_BSML" w:hint="cs"/>
          <w:color w:val="008000"/>
          <w:spacing w:val="-4"/>
          <w:sz w:val="20"/>
          <w:szCs w:val="20"/>
          <w:rtl/>
        </w:rPr>
        <w:t xml:space="preserve"> </w:t>
      </w:r>
      <w:r w:rsidRPr="00FC67D9">
        <w:rPr>
          <w:rFonts w:ascii="QCF_P369" w:hAnsi="QCF_P369" w:cs="QCF_P369"/>
          <w:color w:val="008000"/>
          <w:spacing w:val="-4"/>
          <w:sz w:val="20"/>
          <w:szCs w:val="20"/>
          <w:rtl/>
        </w:rPr>
        <w:t>ﯳ ﯴ ﯵ ﯶ ﯷ</w:t>
      </w:r>
      <w:r w:rsidRPr="00FC67D9">
        <w:rPr>
          <w:rFonts w:ascii="QCF_BSML" w:hAnsi="QCF_BSML" w:cs="QCF_BSML" w:hint="cs"/>
          <w:color w:val="008000"/>
          <w:spacing w:val="-4"/>
          <w:sz w:val="20"/>
          <w:szCs w:val="20"/>
          <w:rtl/>
        </w:rPr>
        <w:t xml:space="preserve"> </w:t>
      </w:r>
      <w:r w:rsidRPr="00FC67D9">
        <w:rPr>
          <w:rFonts w:ascii="QCF_P369" w:hAnsi="QCF_P369" w:cs="QCF_P369"/>
          <w:color w:val="008000"/>
          <w:spacing w:val="-4"/>
          <w:sz w:val="20"/>
          <w:szCs w:val="20"/>
          <w:rtl/>
        </w:rPr>
        <w:t>ﯸ ﯹ ﯺ ﯻ</w:t>
      </w:r>
      <w:r w:rsidRPr="00FC67D9">
        <w:rPr>
          <w:rFonts w:ascii="QCF_P369" w:hAnsi="QCF_P369" w:cs="QCF_P369" w:hint="cs"/>
          <w:color w:val="008000"/>
          <w:spacing w:val="-4"/>
          <w:sz w:val="20"/>
          <w:szCs w:val="20"/>
          <w:rtl/>
        </w:rPr>
        <w:t xml:space="preserve"> </w:t>
      </w:r>
      <w:r w:rsidRPr="00FC67D9">
        <w:rPr>
          <w:rFonts w:ascii="QCF_P369" w:hAnsi="QCF_P369" w:cs="QCF_P369"/>
          <w:color w:val="008000"/>
          <w:spacing w:val="-4"/>
          <w:sz w:val="20"/>
          <w:szCs w:val="20"/>
          <w:rtl/>
        </w:rPr>
        <w:t>ﯼ ﯽ ﯾ</w:t>
      </w:r>
      <w:r w:rsidRPr="00FC67D9">
        <w:rPr>
          <w:rFonts w:ascii="QCF_P369" w:hAnsi="QCF_P369" w:cs="DecoType Thuluth"/>
          <w:color w:val="008000"/>
          <w:spacing w:val="-4"/>
          <w:sz w:val="20"/>
          <w:szCs w:val="20"/>
          <w:rtl/>
        </w:rPr>
        <w:t>}</w:t>
      </w:r>
      <w:r w:rsidRPr="00FC67D9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[الشعراء: 52 - 56]، وردت الروايات تفيد أن جيش موسى كان ستمائة ألف وسبعين ألفًا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وعن الضحاك كان الجيش سبعة آلاف ألف، وروي أن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>الجيش ألف ألف وسبعمائة ألف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قال ابن كثير: هذه الروايات من الإسرائيليات التي لا فائدةَ فيها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إنما القول الصحيح في هذه المسألة أن جند موسى كانوا أقل من جند فرعون؛ لأن الله </w:t>
      </w:r>
      <w:r w:rsidRPr="00FC67D9">
        <w:rPr>
          <w:rFonts w:asciiTheme="majorBidi" w:hAnsiTheme="majorBidi" w:cstheme="majorBidi"/>
          <w:b/>
          <w:bCs/>
          <w:position w:val="-4"/>
          <w:sz w:val="20"/>
          <w:szCs w:val="20"/>
        </w:rPr>
        <w:t>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يقول على لسانهم: </w:t>
      </w:r>
      <w:r w:rsidRPr="00FC67D9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FC67D9">
        <w:rPr>
          <w:rFonts w:ascii="QCF_P369" w:hAnsi="QCF_P369" w:cs="QCF_P369"/>
          <w:color w:val="008000"/>
          <w:sz w:val="20"/>
          <w:szCs w:val="20"/>
          <w:rtl/>
        </w:rPr>
        <w:t>ﯳ ﯴ ﯵ ﯶ ﯷ</w:t>
      </w:r>
      <w:r w:rsidRPr="00FC67D9">
        <w:rPr>
          <w:rFonts w:ascii="QCF_BSML" w:hAnsi="QCF_BSML" w:cs="QCF_BSML" w:hint="cs"/>
          <w:color w:val="008000"/>
          <w:sz w:val="20"/>
          <w:szCs w:val="20"/>
          <w:rtl/>
        </w:rPr>
        <w:t xml:space="preserve"> </w:t>
      </w:r>
      <w:r w:rsidRPr="00FC67D9">
        <w:rPr>
          <w:rFonts w:ascii="QCF_P369" w:hAnsi="QCF_P369" w:cs="QCF_P369"/>
          <w:color w:val="008000"/>
          <w:sz w:val="20"/>
          <w:szCs w:val="20"/>
          <w:rtl/>
        </w:rPr>
        <w:t>ﯸ ﯹ ﯺ ﯻ</w:t>
      </w:r>
      <w:r w:rsidRPr="00FC67D9">
        <w:rPr>
          <w:rFonts w:ascii="QCF_P369" w:hAnsi="QCF_P369" w:cs="QCF_P369" w:hint="cs"/>
          <w:color w:val="008000"/>
          <w:sz w:val="20"/>
          <w:szCs w:val="20"/>
          <w:rtl/>
        </w:rPr>
        <w:t xml:space="preserve"> </w:t>
      </w:r>
      <w:r w:rsidRPr="00FC67D9">
        <w:rPr>
          <w:rFonts w:ascii="QCF_P369" w:hAnsi="QCF_P369" w:cs="QCF_P369"/>
          <w:color w:val="008000"/>
          <w:sz w:val="20"/>
          <w:szCs w:val="20"/>
          <w:rtl/>
        </w:rPr>
        <w:t>ﯼ ﯽ ﯾ</w:t>
      </w:r>
      <w:r w:rsidRPr="00FC67D9">
        <w:rPr>
          <w:rFonts w:ascii="QCF_P369" w:hAnsi="QCF_P369" w:cs="DecoType Thuluth"/>
          <w:color w:val="008000"/>
          <w:sz w:val="20"/>
          <w:szCs w:val="20"/>
          <w:rtl/>
        </w:rPr>
        <w:t>}</w:t>
      </w:r>
      <w:r w:rsidRPr="00FC67D9">
        <w:rPr>
          <w:rFonts w:ascii="Tahoma" w:hAnsi="Tahoma" w:cs="AL-Hotham" w:hint="cs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انظر إسرائيليات كثيرة نحن في غنًى عنها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لكنها غُصَّت بها كتبُ التفسير.</w:t>
      </w:r>
    </w:p>
    <w:p w:rsidR="00FC67D9" w:rsidRPr="00FC67D9" w:rsidRDefault="00FC67D9" w:rsidP="00FC67D9">
      <w:pPr>
        <w:pStyle w:val="a3"/>
        <w:bidi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lang w:bidi="ar-EG"/>
        </w:rPr>
      </w:pPr>
      <w:r w:rsidRPr="00FC67D9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الإسرائيليات في ألواح التوراة:</w:t>
      </w:r>
    </w:p>
    <w:p w:rsidR="00FC67D9" w:rsidRPr="00FC67D9" w:rsidRDefault="00FC67D9" w:rsidP="00FC67D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>قال تعالى</w:t>
      </w:r>
      <w:r w:rsidRPr="00FC67D9">
        <w:rPr>
          <w:rFonts w:ascii="Tahoma" w:hAnsi="Tahoma" w:cs="AL-Hotham" w:hint="cs"/>
          <w:spacing w:val="-4"/>
          <w:sz w:val="20"/>
          <w:szCs w:val="20"/>
          <w:rtl/>
        </w:rPr>
        <w:t>:</w:t>
      </w:r>
      <w:r w:rsidRPr="00FC67D9">
        <w:rPr>
          <w:rFonts w:ascii="Tahoma" w:hAnsi="Tahoma" w:cs="AL-Hotham" w:hint="cs"/>
          <w:color w:val="008000"/>
          <w:spacing w:val="-4"/>
          <w:sz w:val="20"/>
          <w:szCs w:val="20"/>
          <w:rtl/>
        </w:rPr>
        <w:t xml:space="preserve"> </w:t>
      </w:r>
      <w:r w:rsidRPr="00FC67D9">
        <w:rPr>
          <w:rFonts w:ascii="Tahoma" w:hAnsi="Tahoma" w:cs="DecoType Thuluth" w:hint="cs"/>
          <w:color w:val="008000"/>
          <w:spacing w:val="-4"/>
          <w:sz w:val="20"/>
          <w:szCs w:val="20"/>
          <w:rtl/>
        </w:rPr>
        <w:t>{</w:t>
      </w:r>
      <w:r w:rsidRPr="00FC67D9">
        <w:rPr>
          <w:rFonts w:ascii="QCF_P168" w:hAnsi="QCF_P168" w:cs="QCF_P168"/>
          <w:color w:val="008000"/>
          <w:spacing w:val="-4"/>
          <w:sz w:val="20"/>
          <w:szCs w:val="20"/>
          <w:rtl/>
        </w:rPr>
        <w:t>ﭠ ﭡ ﭢ ﭣ ﭤ ﭥ ﭦ ﭧ ﭨ ﭩ ﭪ ﭫ ﭬ ﭭ ﭮ ﭯ ﭰ ﭱ ﭲ ﭳ ﭴ</w:t>
      </w:r>
      <w:r w:rsidRPr="00FC67D9">
        <w:rPr>
          <w:rFonts w:ascii="QCF_P168" w:hAnsi="QCF_P168" w:cs="DecoType Thuluth"/>
          <w:color w:val="008000"/>
          <w:spacing w:val="-4"/>
          <w:sz w:val="20"/>
          <w:szCs w:val="20"/>
          <w:rtl/>
        </w:rPr>
        <w:t>}</w:t>
      </w:r>
      <w:r w:rsidRPr="00FC67D9">
        <w:rPr>
          <w:rFonts w:ascii="Tahoma" w:hAnsi="Tahoma" w:cs="AL-Hotham" w:hint="cs"/>
          <w:color w:val="008000"/>
          <w:spacing w:val="-4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>[الأعراف: 145]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ولها آيات آخر بنفس المعنى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وردت فيها آيات في عدد الألواح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والله سبحانه يقول: </w:t>
      </w:r>
      <w:r w:rsidRPr="00FC67D9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FC67D9">
        <w:rPr>
          <w:rFonts w:ascii="QCF_P168" w:hAnsi="QCF_P168" w:cs="QCF_P168"/>
          <w:color w:val="008000"/>
          <w:sz w:val="20"/>
          <w:szCs w:val="20"/>
          <w:rtl/>
        </w:rPr>
        <w:t>ﭠ ﭡ ﭢ ﭣ ﭤ ﭥ ﭦ</w:t>
      </w:r>
      <w:r w:rsidRPr="00FC67D9">
        <w:rPr>
          <w:rFonts w:ascii="QCF_P168" w:hAnsi="QCF_P168" w:cs="DecoType Thuluth"/>
          <w:color w:val="008000"/>
          <w:sz w:val="20"/>
          <w:szCs w:val="20"/>
          <w:rtl/>
        </w:rPr>
        <w:t>}</w:t>
      </w:r>
      <w:r w:rsidRPr="00FC67D9">
        <w:rPr>
          <w:rFonts w:ascii="Tahoma" w:hAnsi="Tahoma" w:cs="AL-Hotham" w:hint="cs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الآية على الإجمال والعموم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لكن الروايات الإسرائيلية تفيد أنها عشرة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وقيل سبعة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وقيل كانت من نوع من زمرد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قيل من خشب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وقيل أنزلت التوراة وهي سبعون وقر بعير أي: حمل بعير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التوراة يحملها سبعون بعير كلام مبالغ فيه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ثم قالوا: لم يقرأ كلها إلا أربعة نفر: موسى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ويوشع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وعزير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وغيرهم. </w:t>
      </w:r>
    </w:p>
    <w:p w:rsidR="00FC67D9" w:rsidRPr="00FC67D9" w:rsidRDefault="00FC67D9" w:rsidP="00FC67D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2"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pacing w:val="-2"/>
          <w:sz w:val="20"/>
          <w:szCs w:val="20"/>
          <w:rtl/>
        </w:rPr>
        <w:t>وقال ابن جريج: كانت من زمرد، الله أعطاه جبريل حتى جاء بها من عدم</w:t>
      </w:r>
      <w:r w:rsidRPr="00FC67D9">
        <w:rPr>
          <w:rFonts w:asciiTheme="majorBidi" w:hAnsiTheme="majorBidi" w:cstheme="majorBidi"/>
          <w:b/>
          <w:bCs/>
          <w:spacing w:val="-2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2"/>
          <w:sz w:val="20"/>
          <w:szCs w:val="20"/>
          <w:rtl/>
        </w:rPr>
        <w:t xml:space="preserve"> وكتبها بالقلم الذي كتب به الذكر</w:t>
      </w:r>
      <w:r w:rsidRPr="00FC67D9">
        <w:rPr>
          <w:rFonts w:asciiTheme="majorBidi" w:hAnsiTheme="majorBidi" w:cstheme="majorBidi"/>
          <w:b/>
          <w:bCs/>
          <w:spacing w:val="-2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2"/>
          <w:sz w:val="20"/>
          <w:szCs w:val="20"/>
          <w:rtl/>
        </w:rPr>
        <w:t xml:space="preserve"> واستمدَّ من نهر النور. كل هذه إسرائيليات. وما روي أن التوراة أنزلت وهي سبعون وقر بعير إلى آخره رواها ربيع بن أنس</w:t>
      </w:r>
      <w:r w:rsidRPr="00FC67D9">
        <w:rPr>
          <w:rFonts w:asciiTheme="majorBidi" w:hAnsiTheme="majorBidi" w:cstheme="majorBidi"/>
          <w:b/>
          <w:bCs/>
          <w:spacing w:val="-2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2"/>
          <w:sz w:val="20"/>
          <w:szCs w:val="20"/>
          <w:rtl/>
        </w:rPr>
        <w:t xml:space="preserve"> هكذا قال الشيخ محمد أبو شهبة في كتابه (الإسرائيليات والموضوعات) والتحقيق أن كل هذه الروايات إسرائيليات حملها عنها مَن حملها كالحسن البصري بحسن 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>نية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وابن جريج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والسدي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وغيرهم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وغيرهم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وكلها روايات ضعيفة وبينها تعارض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وبينها فروق وتناقض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ترى مثلًا الروايات مما صنفت هذه الألواح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وكيف كتبت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وكم عددها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وما ثقلها حتى تكون حمل سبعين بعيرًا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؟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ثم تكون التوراة والألواح بهذا القدر العظيم الذي يحمله سبعون بعيرًا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ولم يقرأها إلا أربعة!!</w:t>
      </w:r>
    </w:p>
    <w:p w:rsidR="00FC67D9" w:rsidRPr="00FC67D9" w:rsidRDefault="00FC67D9" w:rsidP="00FC67D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وعلى هذا فإن البحث في كل ذلك لا جدوى له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وعلينا أن نؤمن بما جاء في القرآن من هذا الموضوع كما نصت عليه الآية.</w:t>
      </w:r>
    </w:p>
    <w:p w:rsidR="00FC67D9" w:rsidRPr="00FC67D9" w:rsidRDefault="00FC67D9" w:rsidP="00FC67D9">
      <w:pPr>
        <w:pStyle w:val="a3"/>
        <w:bidi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lang w:bidi="ar-EG"/>
        </w:rPr>
      </w:pPr>
      <w:r w:rsidRPr="00FC67D9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هل كسَّر موسى الألواح في غضبه وألقى بها؟:</w:t>
      </w:r>
    </w:p>
    <w:p w:rsidR="00FC67D9" w:rsidRPr="00FC67D9" w:rsidRDefault="00FC67D9" w:rsidP="00FC67D9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الآية في هذا ناطقة بما يلي: </w:t>
      </w:r>
      <w:r w:rsidRPr="00FC67D9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FC67D9">
        <w:rPr>
          <w:rFonts w:ascii="QCF_P169" w:hAnsi="QCF_P169" w:cs="QCF_P169"/>
          <w:color w:val="008000"/>
          <w:sz w:val="20"/>
          <w:szCs w:val="20"/>
          <w:rtl/>
        </w:rPr>
        <w:t>ﭑ ﭒ ﭓ ﭔ ﭕ ﭖ ﭗ ﭘ ﭙ ﭚ ﭛ ﭜ ﭝ ﭞ ﭟ ﭠ ﭡ ﭢ ﭣ ﭤ ﭥ ﭦ ﭧ ﭨ</w:t>
      </w:r>
      <w:r w:rsidRPr="00FC67D9">
        <w:rPr>
          <w:rFonts w:ascii="QCF_P169" w:hAnsi="QCF_P169" w:cs="DecoType Thuluth"/>
          <w:color w:val="008000"/>
          <w:sz w:val="20"/>
          <w:szCs w:val="20"/>
          <w:rtl/>
        </w:rPr>
        <w:t>}</w:t>
      </w:r>
      <w:r w:rsidRPr="00FC67D9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[الأعراف: 150] هذا غضب موسى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لكن الروايات التي ذُكرت تفيد أنه حينما ألقى الألواح تكسرت فرُفعت ستة أسباعها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وبقي منها سبع واحد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وكان فيما رفع تفصيل كل شيء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وفيما بقي هدى ورحمة. تفسير النسفي والطبري وغيرهم.</w:t>
      </w:r>
    </w:p>
    <w:p w:rsidR="00FC67D9" w:rsidRPr="00FC67D9" w:rsidRDefault="00FC67D9" w:rsidP="00FC67D9">
      <w:pPr>
        <w:pStyle w:val="a3"/>
        <w:bidi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لم يعد ما رواه النسفي في هذه الرواية كله من الإسرائيليات؟:</w:t>
      </w:r>
    </w:p>
    <w:p w:rsidR="00FC67D9" w:rsidRPr="00FC67D9" w:rsidRDefault="00FC67D9" w:rsidP="00FC67D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أولًا: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لأن ابن إسحاق وهو صاحب الرواية عند الطبري معروف برواية الإسرائيليات.</w:t>
      </w:r>
    </w:p>
    <w:p w:rsidR="00FC67D9" w:rsidRPr="00FC67D9" w:rsidRDefault="00FC67D9" w:rsidP="00FC67D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lastRenderedPageBreak/>
        <w:t>ثانيًا: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كيف رُفع تفصيل كل شيء في ستة أسباع الألواح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وهو كل شيء كان بنو إسرائيل محتاجين إليه في دينهم من المواعظ وتفصيل الأحكام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فالقرآن أثبت بطلان هذه الرواية بقوله: </w:t>
      </w:r>
      <w:r w:rsidRPr="00FC67D9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FC67D9">
        <w:rPr>
          <w:rFonts w:ascii="QCF_P169" w:hAnsi="QCF_P169" w:cs="QCF_P169"/>
          <w:color w:val="008000"/>
          <w:sz w:val="20"/>
          <w:szCs w:val="20"/>
          <w:rtl/>
        </w:rPr>
        <w:t>ﮩ ﮪ ﮫ ﮬ ﮭ ﮮ ﮯ ﮰ ﮱ ﯓ ﯔ ﯕ ﯖ ﯗ ﯘ ﯙ</w:t>
      </w:r>
      <w:r w:rsidRPr="00FC67D9">
        <w:rPr>
          <w:rFonts w:ascii="QCF_P169" w:hAnsi="QCF_P169" w:cs="DecoType Thuluth"/>
          <w:color w:val="008000"/>
          <w:sz w:val="20"/>
          <w:szCs w:val="20"/>
          <w:rtl/>
        </w:rPr>
        <w:t>}</w:t>
      </w:r>
      <w:r w:rsidRPr="00FC67D9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[الأعراف: 154] هذه الألواح بالألف واللام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فالألف واللام هنا ذكرت في الألواح كلمة معرفة بأل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وفي قوله تعالى في الآية الأخرى: </w:t>
      </w:r>
      <w:r w:rsidRPr="00FC67D9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FC67D9">
        <w:rPr>
          <w:rFonts w:ascii="QCF_P168" w:hAnsi="QCF_P168" w:cs="QCF_P168"/>
          <w:color w:val="008000"/>
          <w:sz w:val="20"/>
          <w:szCs w:val="20"/>
          <w:rtl/>
        </w:rPr>
        <w:t>ﭠ ﭡ ﭢ ﭣ ﭤ ﭥ ﭦ</w:t>
      </w:r>
      <w:r w:rsidRPr="00FC67D9">
        <w:rPr>
          <w:rFonts w:ascii="QCF_P168" w:hAnsi="QCF_P168" w:cs="DecoType Thuluth"/>
          <w:color w:val="008000"/>
          <w:sz w:val="20"/>
          <w:szCs w:val="20"/>
          <w:rtl/>
        </w:rPr>
        <w:t>}</w:t>
      </w:r>
      <w:r w:rsidRPr="00FC67D9">
        <w:rPr>
          <w:rFonts w:ascii="Tahoma" w:hAnsi="Tahoma" w:cs="AL-Hotham" w:hint="cs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وفي قوله: </w:t>
      </w:r>
      <w:r w:rsidRPr="00FC67D9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FC67D9">
        <w:rPr>
          <w:rFonts w:ascii="QCF_P169" w:hAnsi="QCF_P169" w:cs="QCF_P169"/>
          <w:color w:val="008000"/>
          <w:sz w:val="20"/>
          <w:szCs w:val="20"/>
          <w:rtl/>
        </w:rPr>
        <w:t>ﭢ ﭣ</w:t>
      </w:r>
      <w:r w:rsidRPr="00FC67D9">
        <w:rPr>
          <w:rFonts w:ascii="QCF_P169" w:hAnsi="QCF_P169" w:cs="DecoType Thuluth"/>
          <w:color w:val="008000"/>
          <w:sz w:val="20"/>
          <w:szCs w:val="20"/>
          <w:rtl/>
        </w:rPr>
        <w:t>}</w:t>
      </w:r>
      <w:r w:rsidRPr="00FC67D9">
        <w:rPr>
          <w:rFonts w:ascii="Tahoma" w:hAnsi="Tahoma" w:cs="AL-Hotham" w:hint="cs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وفي:</w:t>
      </w:r>
      <w:r w:rsidRPr="00FC67D9">
        <w:rPr>
          <w:rFonts w:asciiTheme="majorBidi" w:hAnsiTheme="majorBidi" w:cstheme="majorBidi"/>
          <w:b/>
          <w:bCs/>
          <w:color w:val="008000"/>
          <w:sz w:val="20"/>
          <w:szCs w:val="20"/>
          <w:rtl/>
        </w:rPr>
        <w:t xml:space="preserve"> </w:t>
      </w:r>
      <w:r w:rsidRPr="00FC67D9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FC67D9">
        <w:rPr>
          <w:rFonts w:ascii="QCF_P169" w:hAnsi="QCF_P169" w:cs="QCF_P169"/>
          <w:color w:val="008000"/>
          <w:sz w:val="20"/>
          <w:szCs w:val="20"/>
          <w:rtl/>
        </w:rPr>
        <w:t>ﮮ ﮯ</w:t>
      </w:r>
      <w:r w:rsidRPr="00FC67D9">
        <w:rPr>
          <w:rFonts w:ascii="QCF_P169" w:hAnsi="QCF_P169" w:cs="DecoType Thuluth"/>
          <w:color w:val="008000"/>
          <w:sz w:val="20"/>
          <w:szCs w:val="20"/>
          <w:rtl/>
        </w:rPr>
        <w:t>}</w:t>
      </w:r>
      <w:r w:rsidRPr="00FC67D9">
        <w:rPr>
          <w:rFonts w:ascii="Tahoma" w:hAnsi="Tahoma" w:cs="AL-Hotham" w:hint="cs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كلها بالألف واللام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والاسم إذا تكرر معرفًا كان الثاني عين الأول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فموسى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#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أخذ الألواح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كلها لا بعضها،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وقوله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FC67D9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FC67D9">
        <w:rPr>
          <w:rFonts w:ascii="QCF_P169" w:hAnsi="QCF_P169" w:cs="QCF_P169"/>
          <w:color w:val="008000"/>
          <w:sz w:val="20"/>
          <w:szCs w:val="20"/>
          <w:rtl/>
        </w:rPr>
        <w:t>ﯔ ﯕ</w:t>
      </w:r>
      <w:r w:rsidRPr="00FC67D9">
        <w:rPr>
          <w:rFonts w:ascii="QCF_P169" w:hAnsi="QCF_P169" w:cs="DecoType Thuluth"/>
          <w:color w:val="008000"/>
          <w:sz w:val="20"/>
          <w:szCs w:val="20"/>
          <w:rtl/>
        </w:rPr>
        <w:t>}</w:t>
      </w:r>
      <w:r w:rsidRPr="00FC67D9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تعمُّ كل ما في الألواح من شرائع ومواعظ وغيرها،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وإلا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فما معنى الهدى والرحمة؟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!.</w:t>
      </w:r>
    </w:p>
    <w:p w:rsidR="00FC67D9" w:rsidRPr="00FC67D9" w:rsidRDefault="00FC67D9" w:rsidP="00FC67D9">
      <w:pPr>
        <w:spacing w:after="120" w:line="240" w:lineRule="auto"/>
        <w:jc w:val="both"/>
        <w:rPr>
          <w:rFonts w:asciiTheme="majorBidi" w:hAnsiTheme="majorBidi" w:cstheme="majorBidi"/>
          <w:b/>
          <w:bCs/>
          <w:color w:val="000000"/>
          <w:sz w:val="20"/>
          <w:szCs w:val="20"/>
          <w:rtl/>
        </w:rPr>
      </w:pPr>
      <w:r w:rsidRPr="00FC67D9">
        <w:rPr>
          <w:rFonts w:asciiTheme="majorBidi" w:hAnsiTheme="majorBidi" w:cstheme="majorBidi"/>
          <w:b/>
          <w:bCs/>
          <w:color w:val="000080"/>
          <w:spacing w:val="-2"/>
          <w:sz w:val="20"/>
          <w:szCs w:val="20"/>
          <w:rtl/>
          <w:lang w:bidi="ar-EG"/>
        </w:rPr>
        <w:t>ثالثًا:</w:t>
      </w:r>
      <w:r w:rsidRPr="00FC67D9">
        <w:rPr>
          <w:rFonts w:asciiTheme="majorBidi" w:hAnsiTheme="majorBidi" w:cstheme="majorBidi"/>
          <w:b/>
          <w:bCs/>
          <w:spacing w:val="-2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pacing w:val="-2"/>
          <w:sz w:val="20"/>
          <w:szCs w:val="20"/>
          <w:rtl/>
          <w:lang w:bidi="ar-EG"/>
        </w:rPr>
        <w:t>كيف رُفع تفصيل كل شيء وقد قال الله</w:t>
      </w:r>
      <w:r w:rsidRPr="00FC67D9">
        <w:rPr>
          <w:rFonts w:asciiTheme="majorBidi" w:hAnsiTheme="majorBidi" w:cstheme="majorBidi"/>
          <w:b/>
          <w:bCs/>
          <w:spacing w:val="-2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pacing w:val="-2"/>
          <w:sz w:val="20"/>
          <w:szCs w:val="20"/>
          <w:rtl/>
          <w:lang w:bidi="ar-EG"/>
        </w:rPr>
        <w:t>تعالى</w:t>
      </w:r>
      <w:r w:rsidRPr="00FC67D9">
        <w:rPr>
          <w:rFonts w:asciiTheme="majorBidi" w:hAnsiTheme="majorBidi" w:cstheme="majorBidi"/>
          <w:b/>
          <w:bCs/>
          <w:spacing w:val="-2"/>
          <w:sz w:val="20"/>
          <w:szCs w:val="20"/>
          <w:rtl/>
        </w:rPr>
        <w:t xml:space="preserve">: </w:t>
      </w:r>
      <w:r w:rsidRPr="00FC67D9">
        <w:rPr>
          <w:rFonts w:ascii="Tahoma" w:hAnsi="Tahoma" w:cs="DecoType Thuluth" w:hint="cs"/>
          <w:color w:val="008000"/>
          <w:spacing w:val="-2"/>
          <w:sz w:val="20"/>
          <w:szCs w:val="20"/>
          <w:rtl/>
        </w:rPr>
        <w:t>{</w:t>
      </w:r>
      <w:r w:rsidRPr="00FC67D9">
        <w:rPr>
          <w:rFonts w:ascii="QCF_P115" w:hAnsi="QCF_P115" w:cs="QCF_P115"/>
          <w:color w:val="008000"/>
          <w:spacing w:val="-2"/>
          <w:sz w:val="20"/>
          <w:szCs w:val="20"/>
          <w:rtl/>
        </w:rPr>
        <w:t>ﭰ ﭱ ﭲ ﭳ ﭴ ﭵ ﭶ ﭷ ﭸ ﭹ ﭺ ﭻ ﭼ ﭽ ﭾ ﭿ</w:t>
      </w:r>
      <w:r w:rsidRPr="00FC67D9">
        <w:rPr>
          <w:rFonts w:ascii="QCF_BSML" w:hAnsi="QCF_BSML" w:cs="DecoType Thuluth" w:hint="cs"/>
          <w:color w:val="008000"/>
          <w:spacing w:val="-2"/>
          <w:sz w:val="20"/>
          <w:szCs w:val="20"/>
          <w:rtl/>
        </w:rPr>
        <w:t>}</w:t>
      </w:r>
      <w:r w:rsidRPr="00FC67D9">
        <w:rPr>
          <w:rFonts w:ascii="QCF_BSML" w:hAnsi="QCF_BSML" w:cs="QCF_BSML"/>
          <w:color w:val="008000"/>
          <w:spacing w:val="-2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pacing w:val="-2"/>
          <w:sz w:val="20"/>
          <w:szCs w:val="20"/>
          <w:rtl/>
        </w:rPr>
        <w:t>[المائدة: 43].</w:t>
      </w:r>
      <w:r w:rsidRPr="00FC67D9">
        <w:rPr>
          <w:rFonts w:asciiTheme="majorBidi" w:hAnsiTheme="majorBidi" w:cstheme="majorBidi"/>
          <w:b/>
          <w:bCs/>
          <w:color w:val="008000"/>
          <w:spacing w:val="-2"/>
          <w:sz w:val="20"/>
          <w:szCs w:val="20"/>
          <w:rtl/>
        </w:rPr>
        <w:t xml:space="preserve"> </w:t>
      </w:r>
      <w:r w:rsidRPr="00FC67D9">
        <w:rPr>
          <w:rFonts w:cs="DecoType Thuluth"/>
          <w:color w:val="008000"/>
          <w:spacing w:val="-2"/>
          <w:sz w:val="20"/>
          <w:szCs w:val="20"/>
          <w:rtl/>
        </w:rPr>
        <w:t>{</w:t>
      </w:r>
      <w:r w:rsidRPr="00FC67D9">
        <w:rPr>
          <w:rFonts w:ascii="QCF_P115" w:hAnsi="QCF_P115" w:cs="QCF_P115"/>
          <w:color w:val="008000"/>
          <w:spacing w:val="-2"/>
          <w:sz w:val="20"/>
          <w:szCs w:val="20"/>
          <w:rtl/>
        </w:rPr>
        <w:t>ﮁ ﮂ ﮃ ﮄ ﮅ ﮆ ﮇ ﮈ ﮉ ﮊ ﮋ ﮌ ﮍ ﮎ ﮏ ﮐ ﮑ ﮒ ﮓ ﮔ</w:t>
      </w:r>
      <w:r w:rsidRPr="00FC67D9">
        <w:rPr>
          <w:rFonts w:ascii="QCF_P115" w:hAnsi="QCF_P115" w:cs="QCF_P115"/>
          <w:color w:val="008000"/>
          <w:sz w:val="20"/>
          <w:szCs w:val="20"/>
          <w:rtl/>
        </w:rPr>
        <w:t xml:space="preserve"> ﮕ ﮖ ﮗ ﮘ ﮙ ﮚ ﮛ ﮜ ﮝ ﮞ ﮟ ﮠ ﮡ ﮢ ﮣ ﮤ ﮥ ﮦ ﮧ ﮨ ﮩ ﮪ ﮫ ﮬ</w:t>
      </w:r>
      <w:r w:rsidRPr="00FC67D9">
        <w:rPr>
          <w:rFonts w:cs="DecoType Thuluth"/>
          <w:color w:val="008000"/>
          <w:sz w:val="20"/>
          <w:szCs w:val="20"/>
          <w:rtl/>
        </w:rPr>
        <w:t>}</w:t>
      </w:r>
      <w:r w:rsidRPr="00FC67D9">
        <w:rPr>
          <w:rFonts w:ascii="QCF_P115" w:hAnsi="QCF_P115" w:cs="AL-Hotham"/>
          <w:spacing w:val="6"/>
          <w:sz w:val="20"/>
          <w:szCs w:val="20"/>
          <w:rtl/>
        </w:rPr>
        <w:t>[</w:t>
      </w:r>
      <w:r w:rsidRPr="00FC67D9">
        <w:rPr>
          <w:rFonts w:asciiTheme="majorBidi" w:hAnsiTheme="majorBidi" w:cstheme="majorBidi"/>
          <w:b/>
          <w:bCs/>
          <w:spacing w:val="6"/>
          <w:sz w:val="20"/>
          <w:szCs w:val="20"/>
          <w:rtl/>
        </w:rPr>
        <w:t>المائدة: 44] .</w:t>
      </w:r>
    </w:p>
    <w:p w:rsidR="00FC67D9" w:rsidRPr="00FC67D9" w:rsidRDefault="00FC67D9" w:rsidP="00FC67D9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C67D9">
        <w:rPr>
          <w:rFonts w:ascii="QCF_BSML" w:hAnsi="QCF_BSML" w:cs="QCF_BSML"/>
          <w:color w:val="008000"/>
          <w:sz w:val="20"/>
          <w:szCs w:val="20"/>
          <w:rtl/>
        </w:rPr>
        <w:t>(</w:t>
      </w:r>
      <w:r w:rsidRPr="00FC67D9">
        <w:rPr>
          <w:rFonts w:ascii="QCF_P115" w:hAnsi="QCF_P115" w:cs="QCF_P115"/>
          <w:color w:val="008000"/>
          <w:sz w:val="20"/>
          <w:szCs w:val="20"/>
          <w:rtl/>
        </w:rPr>
        <w:t>ﮁ ﮂ ﮃ ﮄ ﮅ ﮆ ﮇ ﮈ ﮉ ﮊ ﮋ ﮌ ﮍ ﮎ ﮏ ﮐ ﮑ ﮒ ﮓ ﮔ ﮕ ﮖ ﮗ ﮘ ﮙ ﮚ ﮛ ﮜ ﮝ ﮞ ﮟ ﮠ ﮡ ﮢ ﮣ ﮤ ﮥ ﮦ ﮧ ﮨ ﮩ ﮪ ﮫ ﮬ ﮭ</w:t>
      </w:r>
      <w:r w:rsidRPr="00FC67D9">
        <w:rPr>
          <w:rFonts w:ascii="QCF_P115" w:hAnsi="QCF_P115" w:cs="QCF_P115" w:hint="cs"/>
          <w:color w:val="008000"/>
          <w:sz w:val="20"/>
          <w:szCs w:val="20"/>
          <w:rtl/>
        </w:rPr>
        <w:t xml:space="preserve"> </w:t>
      </w:r>
      <w:r w:rsidRPr="00FC67D9">
        <w:rPr>
          <w:rFonts w:ascii="QCF_P115" w:hAnsi="QCF_P115" w:cs="QCF_P115"/>
          <w:color w:val="008000"/>
          <w:sz w:val="20"/>
          <w:szCs w:val="20"/>
          <w:rtl/>
        </w:rPr>
        <w:t>ﮮ ﮯ ﮰ ﮱ ﯓ ﯔ ﯕ ﯖ ﯗ ﯘ ﯙ ﯚ ﯛ ﯜ ﯝ ﯞ</w:t>
      </w:r>
      <w:r w:rsidRPr="00FC67D9">
        <w:rPr>
          <w:rFonts w:ascii="QCF_P115" w:hAnsi="QCF_P115" w:cs="DecoType Thuluth"/>
          <w:color w:val="008000"/>
          <w:sz w:val="20"/>
          <w:szCs w:val="20"/>
          <w:rtl/>
        </w:rPr>
        <w:t>}</w:t>
      </w:r>
      <w:r w:rsidRPr="00FC67D9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[المائدة: 43 - 45].</w:t>
      </w:r>
    </w:p>
    <w:p w:rsidR="00FC67D9" w:rsidRPr="00FC67D9" w:rsidRDefault="00FC67D9" w:rsidP="00FC67D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>المصادر والمراجع</w:t>
      </w:r>
    </w:p>
    <w:p w:rsidR="00FC67D9" w:rsidRPr="00FC67D9" w:rsidRDefault="00FC67D9" w:rsidP="00FC67D9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المحمدي عبد الرحمن، (الدخيل في التفسير) ، القاهرة،  جامعة الأزهر، مطبعة حسان، 2009م.</w:t>
      </w:r>
    </w:p>
    <w:p w:rsidR="00FC67D9" w:rsidRPr="00FC67D9" w:rsidRDefault="00FC67D9" w:rsidP="00FC67D9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(التفسير والمفسرون) ، طبعة دار الأرقم، 1999م.</w:t>
      </w:r>
    </w:p>
    <w:p w:rsidR="00FC67D9" w:rsidRPr="00FC67D9" w:rsidRDefault="00FC67D9" w:rsidP="00FC67D9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(الإسرائيليات في التفسير والحديث) ، طبعة مكتبة وهبة، 1990م.</w:t>
      </w:r>
    </w:p>
    <w:p w:rsidR="00FC67D9" w:rsidRPr="00FC67D9" w:rsidRDefault="00FC67D9" w:rsidP="00FC67D9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شليوه، سمير شليوه،  (الدخيل والإسرائيليات) ، القاهرة، جامعة الأزهر </w:t>
      </w:r>
    </w:p>
    <w:p w:rsidR="00FC67D9" w:rsidRPr="00FC67D9" w:rsidRDefault="00FC67D9" w:rsidP="00FC67D9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رضوان، على حسن السيد رضوان،  (الدخيل في التفسير) ، جامعة الأزهر، مجلة الشريعة والدراسات الإسلامية. </w:t>
      </w:r>
    </w:p>
    <w:p w:rsidR="00FC67D9" w:rsidRPr="00FC67D9" w:rsidRDefault="00FC67D9" w:rsidP="00FC67D9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السيوطي، جلال الدين السيوطي،  (تدريب الراوي في شرح تقريب النواوي) ، دار الكتاب العربي للطباعة والنشر 20003م.</w:t>
      </w:r>
    </w:p>
    <w:p w:rsidR="00FC67D9" w:rsidRPr="00FC67D9" w:rsidRDefault="00FC67D9" w:rsidP="00FC67D9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الشهرستاني، محمد بن عبد الكريم الشهرستاني،  (الملل والنحل) ، طبعة دار الفكر، 2001م.</w:t>
      </w:r>
    </w:p>
    <w:p w:rsidR="00FC67D9" w:rsidRPr="00FC67D9" w:rsidRDefault="00FC67D9" w:rsidP="00FC67D9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محمد الخضر حسين، (البابية أو البهائية) ،مجمع البحوث الإسلامية</w:t>
      </w:r>
    </w:p>
    <w:p w:rsidR="00FC67D9" w:rsidRPr="00FC67D9" w:rsidRDefault="00FC67D9" w:rsidP="00FC67D9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القاسمي، محمد جمال الدين القاسمي، (تفسير القاسمي المسمى محاسن التأويل) ، طبعة دار إحياء الكتب العربية، 1960م.</w:t>
      </w:r>
    </w:p>
    <w:p w:rsidR="00FC67D9" w:rsidRPr="00FC67D9" w:rsidRDefault="00FC67D9" w:rsidP="00FC67D9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الشعراوي، فضيلة الشيخ محمد متولي الشعراوي،  (معجزة القرآن) ، القاهرة، طبعة مكتبة أخبار اليوم، 1993م.</w:t>
      </w:r>
    </w:p>
    <w:p w:rsidR="00FC67D9" w:rsidRPr="00FC67D9" w:rsidRDefault="00FC67D9" w:rsidP="00FC67D9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الشاطبي، إبراهيم بن موسى أبو إسحاق الشاطبي،  (الموافقات في أصول الشريعة) ، دار الكتب العلمية، 1993م.</w:t>
      </w:r>
    </w:p>
    <w:p w:rsidR="00FC67D9" w:rsidRPr="00FC67D9" w:rsidRDefault="00FC67D9" w:rsidP="00FC67D9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C67D9">
        <w:rPr>
          <w:rFonts w:asciiTheme="majorBidi" w:hAnsiTheme="majorBidi" w:cstheme="majorBidi"/>
          <w:b/>
          <w:bCs/>
          <w:sz w:val="20"/>
          <w:szCs w:val="20"/>
          <w:rtl/>
        </w:rPr>
        <w:t>الأصفهاني، الراغب الأصفهاني، تحقيق:محمد سيد كيلاني (المفردات في غريب القرآن) ، القاهرة، مطبعة مصطفى البابي، 1961م.</w:t>
      </w:r>
    </w:p>
    <w:p w:rsidR="00FC67D9" w:rsidRPr="00FC67D9" w:rsidRDefault="00FC67D9" w:rsidP="00FC67D9">
      <w:pPr>
        <w:rPr>
          <w:i/>
          <w:iCs/>
          <w:sz w:val="20"/>
          <w:szCs w:val="20"/>
          <w:rtl/>
        </w:rPr>
        <w:sectPr w:rsidR="00FC67D9" w:rsidRPr="00FC67D9" w:rsidSect="00FC67D9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FC67D9" w:rsidRPr="00FC67D9" w:rsidRDefault="00FC67D9" w:rsidP="00FC67D9">
      <w:pPr>
        <w:rPr>
          <w:i/>
          <w:iCs/>
          <w:sz w:val="20"/>
          <w:szCs w:val="20"/>
        </w:rPr>
      </w:pPr>
    </w:p>
    <w:sectPr w:rsidR="00FC67D9" w:rsidRPr="00FC67D9" w:rsidSect="00FC67D9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744"/>
    <w:multiLevelType w:val="hybridMultilevel"/>
    <w:tmpl w:val="7F206CB0"/>
    <w:lvl w:ilvl="0" w:tplc="2F0AF552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B93E3344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C67D9"/>
    <w:rsid w:val="00514443"/>
    <w:rsid w:val="009556CB"/>
    <w:rsid w:val="00A90D16"/>
    <w:rsid w:val="00BD6104"/>
    <w:rsid w:val="00BF7572"/>
    <w:rsid w:val="00F57DCA"/>
    <w:rsid w:val="00FC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subtitle">
    <w:name w:val="paper subtitle"/>
    <w:rsid w:val="00FC67D9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3">
    <w:name w:val="Normal (Web)"/>
    <w:basedOn w:val="a"/>
    <w:rsid w:val="00FC67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6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2</cp:revision>
  <dcterms:created xsi:type="dcterms:W3CDTF">2013-06-19T11:13:00Z</dcterms:created>
  <dcterms:modified xsi:type="dcterms:W3CDTF">2013-06-26T08:25:00Z</dcterms:modified>
</cp:coreProperties>
</file>