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252" w:rsidRDefault="009B11D6" w:rsidP="00CA1913">
      <w:pPr>
        <w:jc w:val="center"/>
        <w:rPr>
          <w:b/>
          <w:bCs/>
          <w:sz w:val="44"/>
          <w:szCs w:val="44"/>
          <w:rtl/>
        </w:rPr>
      </w:pPr>
      <w:r>
        <w:rPr>
          <w:b/>
          <w:bCs/>
          <w:sz w:val="44"/>
          <w:szCs w:val="44"/>
          <w:rtl/>
        </w:rPr>
        <w:t xml:space="preserve">بعض </w:t>
      </w:r>
      <w:r w:rsidR="00F96757">
        <w:rPr>
          <w:b/>
          <w:bCs/>
          <w:sz w:val="44"/>
          <w:szCs w:val="44"/>
          <w:rtl/>
        </w:rPr>
        <w:t>ثمار</w:t>
      </w:r>
      <w:r>
        <w:rPr>
          <w:rFonts w:hint="cs"/>
          <w:b/>
          <w:bCs/>
          <w:sz w:val="44"/>
          <w:szCs w:val="44"/>
          <w:rtl/>
        </w:rPr>
        <w:t xml:space="preserve"> </w:t>
      </w:r>
      <w:r>
        <w:rPr>
          <w:b/>
          <w:bCs/>
          <w:sz w:val="44"/>
          <w:szCs w:val="44"/>
          <w:rtl/>
        </w:rPr>
        <w:t>إحصا</w:t>
      </w:r>
      <w:r>
        <w:rPr>
          <w:rFonts w:hint="cs"/>
          <w:b/>
          <w:bCs/>
          <w:sz w:val="44"/>
          <w:szCs w:val="44"/>
          <w:rtl/>
        </w:rPr>
        <w:t>ء</w:t>
      </w:r>
      <w:r w:rsidR="00505252" w:rsidRPr="006538E5">
        <w:rPr>
          <w:b/>
          <w:bCs/>
          <w:sz w:val="44"/>
          <w:szCs w:val="44"/>
          <w:rtl/>
        </w:rPr>
        <w:t xml:space="preserve"> أسماء الله تعالى التسعة والتسعين</w:t>
      </w:r>
    </w:p>
    <w:p w:rsidR="00505252" w:rsidRDefault="00505252" w:rsidP="006538E5">
      <w:pPr>
        <w:jc w:val="center"/>
        <w:rPr>
          <w:rFonts w:hint="cs"/>
          <w:b/>
          <w:bCs/>
          <w:i/>
          <w:iCs/>
          <w:sz w:val="28"/>
          <w:szCs w:val="28"/>
          <w:rtl/>
        </w:rPr>
      </w:pPr>
      <w:r w:rsidRPr="00B014A4">
        <w:rPr>
          <w:b/>
          <w:bCs/>
          <w:i/>
          <w:iCs/>
          <w:sz w:val="28"/>
          <w:szCs w:val="28"/>
          <w:rtl/>
        </w:rPr>
        <w:t>بحث فى : توحيد الصفات</w:t>
      </w:r>
    </w:p>
    <w:p w:rsidR="00462418" w:rsidRPr="00B014A4" w:rsidRDefault="00462418" w:rsidP="006538E5">
      <w:pPr>
        <w:jc w:val="center"/>
        <w:rPr>
          <w:b/>
          <w:bCs/>
          <w:i/>
          <w:iCs/>
          <w:color w:val="4F81BD"/>
          <w:sz w:val="28"/>
          <w:szCs w:val="28"/>
          <w:rtl/>
          <w:lang w:bidi="ar-EG"/>
        </w:rPr>
      </w:pPr>
    </w:p>
    <w:p w:rsidR="00505252" w:rsidRPr="00462418" w:rsidRDefault="00505252" w:rsidP="00462418">
      <w:pPr>
        <w:pStyle w:val="Author"/>
        <w:tabs>
          <w:tab w:val="left" w:pos="4366"/>
          <w:tab w:val="center" w:pos="5244"/>
        </w:tabs>
        <w:bidi/>
        <w:spacing w:before="0" w:after="0"/>
        <w:jc w:val="left"/>
        <w:rPr>
          <w:i/>
          <w:iCs/>
          <w:sz w:val="28"/>
          <w:szCs w:val="28"/>
          <w:lang w:eastAsia="zh-CN"/>
        </w:rPr>
      </w:pPr>
      <w:r w:rsidRPr="00B014A4">
        <w:rPr>
          <w:b/>
          <w:bCs/>
          <w:i/>
          <w:iCs/>
          <w:sz w:val="28"/>
          <w:szCs w:val="28"/>
          <w:rtl/>
        </w:rPr>
        <w:tab/>
      </w:r>
      <w:r w:rsidRPr="00462418">
        <w:rPr>
          <w:i/>
          <w:iCs/>
          <w:sz w:val="28"/>
          <w:szCs w:val="28"/>
          <w:rtl/>
          <w:lang w:eastAsia="zh-CN"/>
        </w:rPr>
        <w:tab/>
        <w:t>إعداد /</w:t>
      </w:r>
      <w:r w:rsidR="00462418" w:rsidRPr="00462418">
        <w:rPr>
          <w:i/>
          <w:iCs/>
          <w:sz w:val="28"/>
          <w:szCs w:val="28"/>
          <w:rtl/>
          <w:lang w:eastAsia="zh-CN"/>
        </w:rPr>
        <w:t xml:space="preserve"> شيماء عبد المجيد زهران</w:t>
      </w:r>
      <w:r w:rsidR="00462418" w:rsidRPr="00462418">
        <w:rPr>
          <w:rFonts w:hint="cs"/>
          <w:i/>
          <w:iCs/>
          <w:sz w:val="28"/>
          <w:szCs w:val="28"/>
          <w:rtl/>
          <w:lang w:eastAsia="zh-CN"/>
        </w:rPr>
        <w:t xml:space="preserve">  </w:t>
      </w:r>
    </w:p>
    <w:p w:rsidR="00505252" w:rsidRPr="00462418" w:rsidRDefault="00505252" w:rsidP="006538E5">
      <w:pPr>
        <w:pStyle w:val="Affiliation"/>
        <w:bidi/>
        <w:rPr>
          <w:i/>
          <w:iCs/>
          <w:sz w:val="28"/>
          <w:szCs w:val="28"/>
        </w:rPr>
      </w:pPr>
      <w:r w:rsidRPr="00462418">
        <w:rPr>
          <w:i/>
          <w:iCs/>
          <w:sz w:val="28"/>
          <w:szCs w:val="28"/>
          <w:rtl/>
        </w:rPr>
        <w:t>قسم الدعوة وأصول الدين</w:t>
      </w:r>
    </w:p>
    <w:p w:rsidR="00505252" w:rsidRPr="00462418" w:rsidRDefault="00505252" w:rsidP="006538E5">
      <w:pPr>
        <w:pStyle w:val="Affiliation"/>
        <w:bidi/>
        <w:rPr>
          <w:i/>
          <w:iCs/>
          <w:sz w:val="28"/>
          <w:szCs w:val="28"/>
        </w:rPr>
      </w:pPr>
      <w:r w:rsidRPr="00462418">
        <w:rPr>
          <w:i/>
          <w:iCs/>
          <w:sz w:val="28"/>
          <w:szCs w:val="28"/>
          <w:rtl/>
        </w:rPr>
        <w:t>كلية العلوم الإسلامية – جامعة المدينة العالمية</w:t>
      </w:r>
    </w:p>
    <w:p w:rsidR="00505252" w:rsidRPr="00462418" w:rsidRDefault="00505252" w:rsidP="006538E5">
      <w:pPr>
        <w:pStyle w:val="Affiliation"/>
        <w:bidi/>
        <w:rPr>
          <w:i/>
          <w:iCs/>
          <w:sz w:val="28"/>
          <w:szCs w:val="28"/>
          <w:rtl/>
        </w:rPr>
      </w:pPr>
      <w:r w:rsidRPr="00462418">
        <w:rPr>
          <w:i/>
          <w:iCs/>
          <w:sz w:val="28"/>
          <w:szCs w:val="28"/>
          <w:rtl/>
        </w:rPr>
        <w:t>شاه علم - ماليزيا</w:t>
      </w:r>
    </w:p>
    <w:p w:rsidR="00505252" w:rsidRPr="00462418" w:rsidRDefault="00462418" w:rsidP="00462418">
      <w:pPr>
        <w:pStyle w:val="Affiliation"/>
        <w:bidi/>
        <w:rPr>
          <w:i/>
          <w:iCs/>
          <w:sz w:val="28"/>
          <w:szCs w:val="28"/>
        </w:rPr>
      </w:pPr>
      <w:hyperlink r:id="rId7" w:history="1">
        <w:r w:rsidRPr="00462418">
          <w:rPr>
            <w:i/>
            <w:iCs/>
            <w:sz w:val="28"/>
            <w:szCs w:val="28"/>
          </w:rPr>
          <w:t>shaimaa.abdelmajeed@mediu.ws</w:t>
        </w:r>
      </w:hyperlink>
    </w:p>
    <w:p w:rsidR="00462418" w:rsidRPr="00B014A4" w:rsidRDefault="00462418" w:rsidP="006538E5">
      <w:pPr>
        <w:tabs>
          <w:tab w:val="left" w:pos="4050"/>
        </w:tabs>
        <w:jc w:val="center"/>
        <w:rPr>
          <w:b/>
          <w:bCs/>
          <w:i/>
          <w:iCs/>
          <w:sz w:val="28"/>
          <w:szCs w:val="28"/>
          <w:rtl/>
          <w:lang w:bidi="ar-EG"/>
        </w:rPr>
      </w:pPr>
    </w:p>
    <w:p w:rsidR="00505252" w:rsidRDefault="00505252" w:rsidP="006538E5">
      <w:pPr>
        <w:tabs>
          <w:tab w:val="left" w:pos="4050"/>
        </w:tabs>
        <w:jc w:val="center"/>
        <w:rPr>
          <w:b/>
          <w:bCs/>
          <w:i/>
          <w:iCs/>
          <w:sz w:val="18"/>
          <w:szCs w:val="18"/>
          <w:rtl/>
          <w:lang w:bidi="ar-EG"/>
        </w:rPr>
        <w:sectPr w:rsidR="00505252" w:rsidSect="006538E5">
          <w:pgSz w:w="11906" w:h="16838" w:code="9"/>
          <w:pgMar w:top="731" w:right="737" w:bottom="2432" w:left="737" w:header="720" w:footer="720" w:gutter="0"/>
          <w:cols w:space="720"/>
          <w:titlePg/>
          <w:bidi/>
          <w:rtlGutter/>
          <w:docGrid w:linePitch="360"/>
        </w:sectPr>
      </w:pPr>
    </w:p>
    <w:p w:rsidR="00505252" w:rsidRPr="00FE0D55" w:rsidRDefault="00505252" w:rsidP="006538E5">
      <w:pPr>
        <w:tabs>
          <w:tab w:val="left" w:pos="4050"/>
        </w:tabs>
        <w:jc w:val="center"/>
        <w:rPr>
          <w:b/>
          <w:bCs/>
          <w:i/>
          <w:iCs/>
          <w:sz w:val="18"/>
          <w:szCs w:val="18"/>
          <w:lang w:bidi="ar-EG"/>
        </w:rPr>
      </w:pPr>
    </w:p>
    <w:p w:rsidR="00505252" w:rsidRPr="00916DA5" w:rsidRDefault="00505252" w:rsidP="006538E5">
      <w:pPr>
        <w:rPr>
          <w:b/>
          <w:bCs/>
          <w:sz w:val="18"/>
          <w:szCs w:val="18"/>
          <w:rtl/>
        </w:rPr>
      </w:pPr>
      <w:r w:rsidRPr="006538E5">
        <w:rPr>
          <w:b/>
          <w:bCs/>
          <w:sz w:val="18"/>
          <w:szCs w:val="18"/>
          <w:rtl/>
        </w:rPr>
        <w:t>خلاصة هذا البحث فى : بعض الثمار التي يجنيها العبد من وراء إحصائه أسماء الله تعالى التسعة والتسعين</w:t>
      </w:r>
      <w:r>
        <w:rPr>
          <w:b/>
          <w:bCs/>
          <w:sz w:val="18"/>
          <w:szCs w:val="18"/>
          <w:rtl/>
        </w:rPr>
        <w:tab/>
      </w:r>
    </w:p>
    <w:p w:rsidR="00505252" w:rsidRPr="00916DA5" w:rsidRDefault="00505252" w:rsidP="006538E5">
      <w:pPr>
        <w:tabs>
          <w:tab w:val="center" w:pos="5244"/>
        </w:tabs>
        <w:spacing w:before="60"/>
        <w:rPr>
          <w:b/>
          <w:bCs/>
          <w:sz w:val="18"/>
          <w:szCs w:val="18"/>
          <w:rtl/>
          <w:lang w:bidi="ar-EG"/>
        </w:rPr>
      </w:pPr>
      <w:r w:rsidRPr="00916DA5">
        <w:rPr>
          <w:b/>
          <w:bCs/>
          <w:sz w:val="18"/>
          <w:szCs w:val="18"/>
          <w:rtl/>
        </w:rPr>
        <w:t xml:space="preserve">الكلمات </w:t>
      </w:r>
      <w:r>
        <w:rPr>
          <w:b/>
          <w:bCs/>
          <w:sz w:val="18"/>
          <w:szCs w:val="18"/>
          <w:rtl/>
        </w:rPr>
        <w:t>الافتتاحيه : عرفنا، الثمار، العبد</w:t>
      </w:r>
      <w:r>
        <w:rPr>
          <w:b/>
          <w:bCs/>
          <w:sz w:val="18"/>
          <w:szCs w:val="18"/>
          <w:rtl/>
        </w:rPr>
        <w:tab/>
      </w:r>
    </w:p>
    <w:p w:rsidR="00505252" w:rsidRPr="00916DA5" w:rsidRDefault="00505252" w:rsidP="006538E5">
      <w:pPr>
        <w:pStyle w:val="ListParagraph"/>
        <w:numPr>
          <w:ilvl w:val="0"/>
          <w:numId w:val="2"/>
        </w:numPr>
        <w:spacing w:before="60" w:line="240" w:lineRule="auto"/>
        <w:ind w:left="643" w:hanging="90"/>
        <w:jc w:val="center"/>
        <w:rPr>
          <w:rFonts w:ascii="Times New Roman" w:hAnsi="Times New Roman" w:cs="Times New Roman"/>
          <w:b/>
          <w:bCs/>
          <w:sz w:val="18"/>
          <w:szCs w:val="18"/>
          <w:rtl/>
        </w:rPr>
      </w:pPr>
      <w:r w:rsidRPr="00916DA5">
        <w:rPr>
          <w:rFonts w:ascii="Times New Roman" w:hAnsi="Times New Roman" w:cs="Times New Roman"/>
          <w:b/>
          <w:bCs/>
          <w:sz w:val="18"/>
          <w:szCs w:val="18"/>
          <w:rtl/>
        </w:rPr>
        <w:t>.</w:t>
      </w:r>
      <w:r w:rsidRPr="00FE0D55">
        <w:rPr>
          <w:rFonts w:ascii="Times New Roman" w:hAnsi="Times New Roman" w:cs="Times New Roman"/>
          <w:b/>
          <w:bCs/>
          <w:i/>
          <w:iCs/>
          <w:sz w:val="20"/>
          <w:szCs w:val="20"/>
          <w:rtl/>
        </w:rPr>
        <w:t>المقدمة</w:t>
      </w:r>
    </w:p>
    <w:p w:rsidR="00505252" w:rsidRPr="00916DA5" w:rsidRDefault="00505252" w:rsidP="006538E5">
      <w:pPr>
        <w:spacing w:before="60"/>
        <w:rPr>
          <w:b/>
          <w:bCs/>
          <w:sz w:val="18"/>
          <w:szCs w:val="18"/>
          <w:rtl/>
        </w:rPr>
      </w:pPr>
      <w:r w:rsidRPr="00916DA5">
        <w:rPr>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sidRPr="006538E5">
        <w:rPr>
          <w:b/>
          <w:bCs/>
          <w:sz w:val="18"/>
          <w:szCs w:val="18"/>
          <w:rtl/>
        </w:rPr>
        <w:t>بعض الثمار التي يجنيها العبد من وراء إحصائه أسماء الله تعالى التسعة والتسعين</w:t>
      </w:r>
    </w:p>
    <w:p w:rsidR="00505252" w:rsidRPr="00785C26" w:rsidRDefault="00505252" w:rsidP="006538E5">
      <w:pPr>
        <w:pStyle w:val="ListParagraph"/>
        <w:numPr>
          <w:ilvl w:val="0"/>
          <w:numId w:val="3"/>
        </w:numPr>
        <w:spacing w:line="240" w:lineRule="auto"/>
        <w:ind w:left="733" w:hanging="90"/>
        <w:jc w:val="center"/>
        <w:rPr>
          <w:rFonts w:ascii="Times New Roman" w:hAnsi="Times New Roman" w:cs="Times New Roman"/>
          <w:b/>
          <w:bCs/>
          <w:i/>
          <w:iCs/>
          <w:sz w:val="20"/>
          <w:szCs w:val="20"/>
          <w:rtl/>
        </w:rPr>
      </w:pPr>
      <w:r w:rsidRPr="00FE0D55">
        <w:rPr>
          <w:rFonts w:ascii="Times New Roman" w:hAnsi="Times New Roman" w:cs="Times New Roman"/>
          <w:b/>
          <w:bCs/>
          <w:i/>
          <w:iCs/>
          <w:sz w:val="20"/>
          <w:szCs w:val="20"/>
          <w:rtl/>
        </w:rPr>
        <w:t>.عنوان المقالة</w:t>
      </w:r>
    </w:p>
    <w:p w:rsidR="00505252" w:rsidRPr="006538E5" w:rsidRDefault="00505252" w:rsidP="006538E5">
      <w:pPr>
        <w:pStyle w:val="NormalWeb"/>
        <w:bidi/>
        <w:spacing w:before="0" w:beforeAutospacing="0" w:after="0" w:afterAutospacing="0"/>
        <w:jc w:val="lowKashida"/>
        <w:rPr>
          <w:sz w:val="18"/>
          <w:szCs w:val="18"/>
        </w:rPr>
      </w:pPr>
      <w:r w:rsidRPr="006538E5">
        <w:rPr>
          <w:sz w:val="18"/>
          <w:szCs w:val="18"/>
          <w:rtl/>
        </w:rPr>
        <w:t xml:space="preserve">بعد أن عَرفنا المراد بالإحصاء الوارد في حديث الأسماء، وبينا إلى أن المقصود به هو الإحاطة بهذه الأسماء حفظًا لألفاظها، وفهمًا لمعانيها، نحتاج إلى أن نبين بعض الثمار التي يجنيها العبد من وراء هذا الإحصاء لأسماء الله تعالى التسعة والتسعين. </w:t>
      </w:r>
    </w:p>
    <w:p w:rsidR="00505252" w:rsidRPr="006538E5" w:rsidRDefault="00505252" w:rsidP="006538E5">
      <w:pPr>
        <w:pStyle w:val="NormalWeb"/>
        <w:bidi/>
        <w:spacing w:before="0" w:beforeAutospacing="0" w:after="0" w:afterAutospacing="0"/>
        <w:jc w:val="lowKashida"/>
        <w:rPr>
          <w:sz w:val="18"/>
          <w:szCs w:val="18"/>
        </w:rPr>
      </w:pPr>
      <w:r w:rsidRPr="006538E5">
        <w:rPr>
          <w:sz w:val="18"/>
          <w:szCs w:val="18"/>
          <w:rtl/>
        </w:rPr>
        <w:t xml:space="preserve">وبالرجوع إلى لفظ الحديث نجد في قوله </w:t>
      </w:r>
      <w:r w:rsidRPr="006538E5">
        <w:rPr>
          <w:rFonts w:ascii="AGA Arabesque" w:hAnsi="AGA Arabesque"/>
          <w:position w:val="-4"/>
          <w:sz w:val="18"/>
          <w:szCs w:val="18"/>
        </w:rPr>
        <w:t></w:t>
      </w:r>
      <w:r w:rsidRPr="006538E5">
        <w:rPr>
          <w:sz w:val="18"/>
          <w:szCs w:val="18"/>
          <w:rtl/>
        </w:rPr>
        <w:t>: ((مَن أحصاها دخل الجنة)). وفي رواية أخرى:((مَن حفِظها دخل الجنة))، إشارة إلى الثواب المتحقق من هذا الإحصاء، وهو أن المُحْصِي لها موعودٌ بدخول الجنة.</w:t>
      </w:r>
    </w:p>
    <w:p w:rsidR="00505252" w:rsidRPr="006538E5" w:rsidRDefault="00505252" w:rsidP="006538E5">
      <w:pPr>
        <w:pStyle w:val="NormalWeb"/>
        <w:bidi/>
        <w:spacing w:before="0" w:beforeAutospacing="0" w:after="0" w:afterAutospacing="0"/>
        <w:jc w:val="lowKashida"/>
        <w:rPr>
          <w:sz w:val="18"/>
          <w:szCs w:val="18"/>
        </w:rPr>
      </w:pPr>
      <w:r w:rsidRPr="006538E5">
        <w:rPr>
          <w:sz w:val="18"/>
          <w:szCs w:val="18"/>
          <w:rtl/>
        </w:rPr>
        <w:t xml:space="preserve">وهذه الفضيلة المذكورة في الحديث مما لا يحتاج إلى شرح أو بسط، فيكفي إيرادها في تقريرها، أما الثمراتُ الأخرى التي تحصل للعبد من إحصاء أسماء الله الحسنى؛ فيَجْمَعُها التعبُّد لله </w:t>
      </w:r>
      <w:r w:rsidRPr="006538E5">
        <w:rPr>
          <w:rFonts w:ascii="AGA Arabesque" w:hAnsi="AGA Arabesque"/>
          <w:position w:val="-4"/>
          <w:sz w:val="18"/>
          <w:szCs w:val="18"/>
        </w:rPr>
        <w:t></w:t>
      </w:r>
      <w:r w:rsidRPr="006538E5">
        <w:rPr>
          <w:sz w:val="18"/>
          <w:szCs w:val="18"/>
          <w:rtl/>
        </w:rPr>
        <w:t xml:space="preserve"> بموجب هذه الأسماء، الذي هو الطريق إلى تحصيل هذا الفضيلة وهي استحقاق دخول الجنة.</w:t>
      </w:r>
    </w:p>
    <w:p w:rsidR="00505252" w:rsidRPr="006538E5" w:rsidRDefault="00505252" w:rsidP="006538E5">
      <w:pPr>
        <w:pStyle w:val="NormalWeb"/>
        <w:bidi/>
        <w:spacing w:before="0" w:beforeAutospacing="0" w:after="0" w:afterAutospacing="0"/>
        <w:jc w:val="lowKashida"/>
        <w:rPr>
          <w:sz w:val="18"/>
          <w:szCs w:val="18"/>
        </w:rPr>
      </w:pPr>
      <w:r w:rsidRPr="006538E5">
        <w:rPr>
          <w:sz w:val="18"/>
          <w:szCs w:val="18"/>
          <w:rtl/>
        </w:rPr>
        <w:t xml:space="preserve">ومن أجلِّ أنواع عبادة الله </w:t>
      </w:r>
      <w:r w:rsidRPr="006538E5">
        <w:rPr>
          <w:rFonts w:ascii="AGA Arabesque" w:hAnsi="AGA Arabesque"/>
          <w:position w:val="-4"/>
          <w:sz w:val="18"/>
          <w:szCs w:val="18"/>
        </w:rPr>
        <w:t></w:t>
      </w:r>
      <w:r w:rsidRPr="006538E5">
        <w:rPr>
          <w:sz w:val="18"/>
          <w:szCs w:val="18"/>
          <w:rtl/>
        </w:rPr>
        <w:t xml:space="preserve"> بأسمائه الحسنى، دعاء الله </w:t>
      </w:r>
      <w:r w:rsidRPr="006538E5">
        <w:rPr>
          <w:rFonts w:ascii="AGA Arabesque" w:hAnsi="AGA Arabesque"/>
          <w:position w:val="-4"/>
          <w:sz w:val="18"/>
          <w:szCs w:val="18"/>
        </w:rPr>
        <w:t></w:t>
      </w:r>
      <w:r w:rsidRPr="006538E5">
        <w:rPr>
          <w:sz w:val="18"/>
          <w:szCs w:val="18"/>
          <w:rtl/>
        </w:rPr>
        <w:t xml:space="preserve"> بها، دعاءَ مَسألة ودعاء عبادة، وذلك بتحقيق ما يحبه الله </w:t>
      </w:r>
      <w:r w:rsidRPr="006538E5">
        <w:rPr>
          <w:rFonts w:ascii="AGA Arabesque" w:hAnsi="AGA Arabesque"/>
          <w:position w:val="-4"/>
          <w:sz w:val="18"/>
          <w:szCs w:val="18"/>
        </w:rPr>
        <w:t></w:t>
      </w:r>
      <w:r w:rsidRPr="006538E5">
        <w:rPr>
          <w:sz w:val="18"/>
          <w:szCs w:val="18"/>
          <w:rtl/>
        </w:rPr>
        <w:t xml:space="preserve"> من حمده، والثناء عليه بأسمائه الحسنى، إذ معرفة أسمائه </w:t>
      </w:r>
      <w:r w:rsidRPr="006538E5">
        <w:rPr>
          <w:rFonts w:ascii="AGA Arabesque" w:hAnsi="AGA Arabesque"/>
          <w:position w:val="-4"/>
          <w:sz w:val="18"/>
          <w:szCs w:val="18"/>
        </w:rPr>
        <w:t></w:t>
      </w:r>
      <w:r w:rsidRPr="006538E5">
        <w:rPr>
          <w:sz w:val="18"/>
          <w:szCs w:val="18"/>
          <w:rtl/>
        </w:rPr>
        <w:t xml:space="preserve"> من أعْظَم السُّبل التي تُمكن العبد من حمد الله والثناء عليه، وتمجيده على الوجه اللائق به كما يُحب ربنا ويرضَى.</w:t>
      </w:r>
    </w:p>
    <w:p w:rsidR="00505252" w:rsidRPr="006538E5" w:rsidRDefault="00505252" w:rsidP="006538E5">
      <w:pPr>
        <w:pStyle w:val="NormalWeb"/>
        <w:bidi/>
        <w:spacing w:before="0" w:beforeAutospacing="0" w:after="0" w:afterAutospacing="0"/>
        <w:jc w:val="lowKashida"/>
        <w:rPr>
          <w:sz w:val="18"/>
          <w:szCs w:val="18"/>
        </w:rPr>
      </w:pPr>
      <w:r w:rsidRPr="006538E5">
        <w:rPr>
          <w:sz w:val="18"/>
          <w:szCs w:val="18"/>
          <w:rtl/>
        </w:rPr>
        <w:t>وفي توضيح ذلك بالتمثيل ببعض الأسماء الحسنى، وما يقتضيه كل اسم مما ذُكر من الآثار، يقول شيخ الإسلام: والخلق كلهم يسألون اللهَ مؤمنهم وكافرهم، وقد يجيب الله دعاءَ الكفار، فإن الكفار يسألونَ الله الرّزقَ فيَرزُقهم ويَسقيهم، وإذا مسّهم الضر في البحر ضل من يدعون إلا إياه، فلما نجاهم إلى البر أعرضوا، وكان الإنسان كفورًا. وأما الذين يقسمون على الله فيبرّ قسمهم، فإنهم ناس مخصوصون.</w:t>
      </w:r>
    </w:p>
    <w:p w:rsidR="00505252" w:rsidRPr="006538E5" w:rsidRDefault="00505252" w:rsidP="006538E5">
      <w:pPr>
        <w:pStyle w:val="NormalWeb"/>
        <w:bidi/>
        <w:spacing w:before="0" w:beforeAutospacing="0" w:after="0" w:afterAutospacing="0"/>
        <w:jc w:val="lowKashida"/>
        <w:rPr>
          <w:sz w:val="18"/>
          <w:szCs w:val="18"/>
        </w:rPr>
      </w:pPr>
      <w:r w:rsidRPr="006538E5">
        <w:rPr>
          <w:sz w:val="18"/>
          <w:szCs w:val="18"/>
          <w:rtl/>
        </w:rPr>
        <w:t>فالسؤال كقول السائل لله: ((أسألك بأنّ لك الحمد، أنت اللهُ المَنّان، بَدِيعَ السّمَاواتِ والأرض، يا ذا الجلال والإكرام، وأسألك بأنك أنت الله الأحد الصمد، الذي لم يلد ولم يولد، ولم يكن له كفوًا أحد، وأسألك بكل اسم هو لك، سمّيت به نفسك، أو أنزلته في كتابك، أو علمته أحدًا من خلقك، أو استأثرتَ به في علم الغيب عندك)).</w:t>
      </w:r>
    </w:p>
    <w:p w:rsidR="00505252" w:rsidRPr="006538E5" w:rsidRDefault="00505252" w:rsidP="006538E5">
      <w:pPr>
        <w:pStyle w:val="NormalWeb"/>
        <w:bidi/>
        <w:spacing w:before="0" w:beforeAutospacing="0" w:after="0" w:afterAutospacing="0"/>
        <w:jc w:val="lowKashida"/>
        <w:rPr>
          <w:sz w:val="18"/>
          <w:szCs w:val="18"/>
        </w:rPr>
      </w:pPr>
      <w:r w:rsidRPr="006538E5">
        <w:rPr>
          <w:sz w:val="18"/>
          <w:szCs w:val="18"/>
          <w:rtl/>
        </w:rPr>
        <w:t xml:space="preserve">فهذا سؤال الله تعالى بأسمائه وصفاته، وليس ذلك إقسامًا عليه؛ فإن أفعاله هي مقتضى أسمائه وصفاته، ولهذا لما قالت عائشة </w:t>
      </w:r>
      <w:r w:rsidRPr="006538E5">
        <w:rPr>
          <w:rFonts w:cs="SC_ALYERMOOK"/>
          <w:position w:val="-4"/>
          <w:sz w:val="18"/>
          <w:szCs w:val="18"/>
          <w:rtl/>
        </w:rPr>
        <w:t>&lt;</w:t>
      </w:r>
      <w:r w:rsidRPr="006538E5">
        <w:rPr>
          <w:sz w:val="18"/>
          <w:szCs w:val="18"/>
          <w:rtl/>
        </w:rPr>
        <w:t xml:space="preserve"> للنبي </w:t>
      </w:r>
      <w:r w:rsidRPr="006538E5">
        <w:rPr>
          <w:rFonts w:ascii="AGA Arabesque" w:hAnsi="AGA Arabesque"/>
          <w:position w:val="-4"/>
          <w:sz w:val="18"/>
          <w:szCs w:val="18"/>
        </w:rPr>
        <w:t></w:t>
      </w:r>
      <w:r w:rsidRPr="006538E5">
        <w:rPr>
          <w:sz w:val="18"/>
          <w:szCs w:val="18"/>
          <w:rtl/>
        </w:rPr>
        <w:t>: ((إن وافقتُ ليلة القدر، فماذا أقول؟ قال: قولي: اللهم إنك عفو تحب العفو، فاعف عني))، وهدايته ودلالته من مقتضى اسمه الهادي.</w:t>
      </w:r>
    </w:p>
    <w:p w:rsidR="00505252" w:rsidRPr="006538E5" w:rsidRDefault="00505252" w:rsidP="006538E5">
      <w:pPr>
        <w:pStyle w:val="NormalWeb"/>
        <w:bidi/>
        <w:spacing w:before="0" w:beforeAutospacing="0" w:after="0" w:afterAutospacing="0"/>
        <w:jc w:val="lowKashida"/>
        <w:rPr>
          <w:sz w:val="18"/>
          <w:szCs w:val="18"/>
        </w:rPr>
      </w:pPr>
      <w:r w:rsidRPr="006538E5">
        <w:rPr>
          <w:sz w:val="18"/>
          <w:szCs w:val="18"/>
          <w:rtl/>
        </w:rPr>
        <w:t>وفي الأثر المنقول عن أحمد بن حنبل، أنه أمر رجلًا أن يقول: يا دليل الحيارَى، دلني على طريق الصادقين، واجعلني من عبادك الصالحين.</w:t>
      </w:r>
    </w:p>
    <w:p w:rsidR="00505252" w:rsidRPr="006538E5" w:rsidRDefault="00505252" w:rsidP="006538E5">
      <w:pPr>
        <w:pStyle w:val="NormalWeb"/>
        <w:bidi/>
        <w:spacing w:before="0" w:beforeAutospacing="0" w:after="0" w:afterAutospacing="0"/>
        <w:jc w:val="lowKashida"/>
        <w:rPr>
          <w:sz w:val="18"/>
          <w:szCs w:val="18"/>
        </w:rPr>
      </w:pPr>
      <w:r w:rsidRPr="006538E5">
        <w:rPr>
          <w:sz w:val="18"/>
          <w:szCs w:val="18"/>
          <w:rtl/>
        </w:rPr>
        <w:t xml:space="preserve">وجميع ما يفعل الله بعبده من الخير من مقتضى اسمه الرب؛ ولهذا يقال في الدعاء: يا رب، يا رب، كما قال آدم: </w:t>
      </w:r>
      <w:r w:rsidRPr="006538E5">
        <w:rPr>
          <w:rFonts w:ascii="Tahoma" w:hAnsi="Tahoma" w:cs="DecoType Thuluth"/>
          <w:sz w:val="18"/>
          <w:szCs w:val="18"/>
          <w:rtl/>
        </w:rPr>
        <w:t>{</w:t>
      </w:r>
      <w:r w:rsidRPr="006538E5">
        <w:rPr>
          <w:rFonts w:ascii="QCF_P153" w:hAnsi="QCF_P153" w:cs="QCF_P153"/>
          <w:sz w:val="18"/>
          <w:szCs w:val="18"/>
          <w:rtl/>
        </w:rPr>
        <w:t>ﭒ ﭓ ﭔ ﭕ ﭖ ﭗ ﭘ ﭙ ﭚ ﭛ ﭜ</w:t>
      </w:r>
      <w:r w:rsidRPr="006538E5">
        <w:rPr>
          <w:rFonts w:ascii="QCF_P153" w:hAnsi="QCF_P153" w:cs="DecoType Thuluth"/>
          <w:sz w:val="18"/>
          <w:szCs w:val="18"/>
          <w:rtl/>
        </w:rPr>
        <w:t>}</w:t>
      </w:r>
      <w:r w:rsidRPr="006538E5">
        <w:rPr>
          <w:rFonts w:ascii="Tahoma" w:hAnsi="Tahoma"/>
          <w:sz w:val="18"/>
          <w:szCs w:val="18"/>
          <w:rtl/>
        </w:rPr>
        <w:t xml:space="preserve"> [الأعراف: 23]</w:t>
      </w:r>
      <w:r w:rsidRPr="006538E5">
        <w:rPr>
          <w:sz w:val="18"/>
          <w:szCs w:val="18"/>
          <w:rtl/>
        </w:rPr>
        <w:t xml:space="preserve"> وقال نوح: </w:t>
      </w:r>
      <w:r w:rsidRPr="006538E5">
        <w:rPr>
          <w:rFonts w:ascii="Tahoma" w:hAnsi="Tahoma" w:cs="DecoType Thuluth"/>
          <w:sz w:val="18"/>
          <w:szCs w:val="18"/>
          <w:rtl/>
        </w:rPr>
        <w:t>{</w:t>
      </w:r>
      <w:r w:rsidRPr="006538E5">
        <w:rPr>
          <w:rFonts w:ascii="QCF_P227" w:hAnsi="QCF_P227" w:cs="QCF_P227"/>
          <w:sz w:val="18"/>
          <w:szCs w:val="18"/>
          <w:rtl/>
        </w:rPr>
        <w:t>ﭭ ﭮ ﭯ ﭰ ﭱ ﭲ ﭳ ﭴ ﭵ ﭶ ﭷ ﭸ ﭹ ﭺ ﭻ ﭼ ﭽ ﭾ ﭿ</w:t>
      </w:r>
      <w:r w:rsidRPr="006538E5">
        <w:rPr>
          <w:rFonts w:ascii="QCF_P227" w:hAnsi="QCF_P227" w:cs="DecoType Thuluth"/>
          <w:sz w:val="18"/>
          <w:szCs w:val="18"/>
          <w:rtl/>
        </w:rPr>
        <w:t>}</w:t>
      </w:r>
      <w:r w:rsidRPr="006538E5">
        <w:rPr>
          <w:rFonts w:ascii="Tahoma" w:hAnsi="Tahoma"/>
          <w:sz w:val="18"/>
          <w:szCs w:val="18"/>
          <w:rtl/>
        </w:rPr>
        <w:t xml:space="preserve"> [هود: 47]</w:t>
      </w:r>
      <w:r w:rsidRPr="006538E5">
        <w:rPr>
          <w:sz w:val="18"/>
          <w:szCs w:val="18"/>
          <w:rtl/>
        </w:rPr>
        <w:t xml:space="preserve"> وقال إبراهيم: </w:t>
      </w:r>
      <w:r w:rsidRPr="006538E5">
        <w:rPr>
          <w:rFonts w:ascii="Tahoma" w:hAnsi="Tahoma" w:cs="DecoType Thuluth"/>
          <w:sz w:val="18"/>
          <w:szCs w:val="18"/>
          <w:rtl/>
        </w:rPr>
        <w:t>{</w:t>
      </w:r>
      <w:r w:rsidRPr="006538E5">
        <w:rPr>
          <w:rFonts w:ascii="QCF_P260" w:hAnsi="QCF_P260" w:cs="QCF_P260"/>
          <w:sz w:val="18"/>
          <w:szCs w:val="18"/>
          <w:rtl/>
        </w:rPr>
        <w:t>ﮃ ﮄ ﮅ ﮆ ﮇ ﮈ ﮉ ﮊ ﮋ</w:t>
      </w:r>
      <w:r w:rsidRPr="006538E5">
        <w:rPr>
          <w:rFonts w:ascii="QCF_P260" w:hAnsi="QCF_P260" w:cs="DecoType Thuluth"/>
          <w:sz w:val="18"/>
          <w:szCs w:val="18"/>
          <w:rtl/>
        </w:rPr>
        <w:t>}</w:t>
      </w:r>
      <w:r w:rsidRPr="006538E5">
        <w:rPr>
          <w:rFonts w:ascii="Tahoma" w:hAnsi="Tahoma"/>
          <w:sz w:val="18"/>
          <w:szCs w:val="18"/>
          <w:rtl/>
        </w:rPr>
        <w:t xml:space="preserve"> [إبراهيم: 37]</w:t>
      </w:r>
      <w:r w:rsidRPr="006538E5">
        <w:rPr>
          <w:sz w:val="18"/>
          <w:szCs w:val="18"/>
          <w:rtl/>
        </w:rPr>
        <w:t xml:space="preserve"> وكذلك سائر الأنبياء.</w:t>
      </w:r>
    </w:p>
    <w:p w:rsidR="00505252" w:rsidRPr="006538E5" w:rsidRDefault="00505252" w:rsidP="006538E5">
      <w:pPr>
        <w:pStyle w:val="NormalWeb"/>
        <w:bidi/>
        <w:spacing w:before="0" w:beforeAutospacing="0" w:after="0" w:afterAutospacing="0"/>
        <w:jc w:val="lowKashida"/>
        <w:rPr>
          <w:sz w:val="18"/>
          <w:szCs w:val="18"/>
        </w:rPr>
      </w:pPr>
      <w:r w:rsidRPr="006538E5">
        <w:rPr>
          <w:sz w:val="18"/>
          <w:szCs w:val="18"/>
          <w:rtl/>
        </w:rPr>
        <w:t xml:space="preserve">وقد كره مالك وابن أبي عمران من أصحاب أبي حنيفة وغيرهما، أن يقول الداعي: يا سيدي يا سيدي، وقالوا: ((قل كما قالت الأنبياء: رب رب)). </w:t>
      </w:r>
    </w:p>
    <w:p w:rsidR="00505252" w:rsidRPr="006538E5" w:rsidRDefault="00505252" w:rsidP="006538E5">
      <w:pPr>
        <w:pStyle w:val="NormalWeb"/>
        <w:bidi/>
        <w:spacing w:before="0" w:beforeAutospacing="0" w:after="0" w:afterAutospacing="0"/>
        <w:jc w:val="lowKashida"/>
        <w:rPr>
          <w:sz w:val="18"/>
          <w:szCs w:val="18"/>
        </w:rPr>
      </w:pPr>
      <w:r w:rsidRPr="006538E5">
        <w:rPr>
          <w:sz w:val="18"/>
          <w:szCs w:val="18"/>
          <w:rtl/>
        </w:rPr>
        <w:t xml:space="preserve">واسمه الحَيّ القيوم يُجمع أصل معاني الأسماء والصفات، كما قد بسط هذا في غير هذا الموضع، ولهذا كان النبي </w:t>
      </w:r>
      <w:r w:rsidRPr="006538E5">
        <w:rPr>
          <w:rFonts w:ascii="AGA Arabesque" w:hAnsi="AGA Arabesque"/>
          <w:position w:val="-4"/>
          <w:sz w:val="18"/>
          <w:szCs w:val="18"/>
        </w:rPr>
        <w:t></w:t>
      </w:r>
      <w:r w:rsidRPr="006538E5">
        <w:rPr>
          <w:sz w:val="18"/>
          <w:szCs w:val="18"/>
          <w:rtl/>
        </w:rPr>
        <w:t xml:space="preserve"> يقوله إذا اجتهد في الدعاء.</w:t>
      </w:r>
    </w:p>
    <w:p w:rsidR="00505252" w:rsidRPr="006538E5" w:rsidRDefault="00505252" w:rsidP="006538E5">
      <w:pPr>
        <w:pStyle w:val="NormalWeb"/>
        <w:bidi/>
        <w:spacing w:before="0" w:beforeAutospacing="0" w:after="0" w:afterAutospacing="0"/>
        <w:jc w:val="lowKashida"/>
        <w:rPr>
          <w:sz w:val="18"/>
          <w:szCs w:val="18"/>
        </w:rPr>
      </w:pPr>
      <w:r w:rsidRPr="006538E5">
        <w:rPr>
          <w:sz w:val="18"/>
          <w:szCs w:val="18"/>
          <w:rtl/>
        </w:rPr>
        <w:lastRenderedPageBreak/>
        <w:t xml:space="preserve">فإذا سئل المسئول بشيء </w:t>
      </w:r>
      <w:r w:rsidRPr="006538E5">
        <w:rPr>
          <w:rFonts w:cs="Traditional Arabic"/>
          <w:sz w:val="18"/>
          <w:szCs w:val="18"/>
          <w:rtl/>
        </w:rPr>
        <w:t>-</w:t>
      </w:r>
      <w:r w:rsidRPr="006538E5">
        <w:rPr>
          <w:sz w:val="18"/>
          <w:szCs w:val="18"/>
          <w:rtl/>
        </w:rPr>
        <w:t>والباء للسبب</w:t>
      </w:r>
      <w:r w:rsidRPr="006538E5">
        <w:rPr>
          <w:rFonts w:cs="Traditional Arabic"/>
          <w:sz w:val="18"/>
          <w:szCs w:val="18"/>
          <w:rtl/>
        </w:rPr>
        <w:t>-</w:t>
      </w:r>
      <w:r w:rsidRPr="006538E5">
        <w:rPr>
          <w:sz w:val="18"/>
          <w:szCs w:val="18"/>
          <w:rtl/>
        </w:rPr>
        <w:t xml:space="preserve"> سئل بسبب يقتضي وجود المسئول، فإذا قال: ((أسألك بأن لك الحمد، أنت الله المنان، بديع السموات والأرض))، كان كونه محمودًا مَنانًا بديعَ السموات والأرض، يقتضي أن يمنّ على عبده السائل، وكونه محمودًا هو يوجب أن يفعل ما يحمد عليه، وحمد العبد له سبب إجابة دعائه.</w:t>
      </w:r>
    </w:p>
    <w:p w:rsidR="00505252" w:rsidRPr="006538E5" w:rsidRDefault="00505252" w:rsidP="006538E5">
      <w:pPr>
        <w:pStyle w:val="NormalWeb"/>
        <w:bidi/>
        <w:spacing w:before="0" w:beforeAutospacing="0" w:after="0" w:afterAutospacing="0"/>
        <w:jc w:val="lowKashida"/>
        <w:rPr>
          <w:sz w:val="18"/>
          <w:szCs w:val="18"/>
        </w:rPr>
      </w:pPr>
      <w:r w:rsidRPr="006538E5">
        <w:rPr>
          <w:sz w:val="18"/>
          <w:szCs w:val="18"/>
          <w:rtl/>
        </w:rPr>
        <w:t xml:space="preserve">ولهذا أمر المصلي أن يقول: ((سمع الله لمن حمده))، أي: استجاب الله دعاءَ مَن حَمِده، فالسماع هنا بمعنى الإجابة والقبول، كقوله </w:t>
      </w:r>
      <w:r w:rsidRPr="006538E5">
        <w:rPr>
          <w:rFonts w:ascii="AGA Arabesque" w:hAnsi="AGA Arabesque"/>
          <w:position w:val="-4"/>
          <w:sz w:val="18"/>
          <w:szCs w:val="18"/>
        </w:rPr>
        <w:t></w:t>
      </w:r>
      <w:r w:rsidRPr="006538E5">
        <w:rPr>
          <w:sz w:val="18"/>
          <w:szCs w:val="18"/>
          <w:rtl/>
        </w:rPr>
        <w:t xml:space="preserve">: ((أعوذ بك من علم لا ينفع، ومن قلب لا يخشع، ومن نفس لا تشبع، ومن دعاء لا يُسمَع))، أي: لا يُستجاب. </w:t>
      </w:r>
    </w:p>
    <w:p w:rsidR="00505252" w:rsidRDefault="00505252" w:rsidP="006538E5">
      <w:pPr>
        <w:jc w:val="center"/>
        <w:rPr>
          <w:b/>
          <w:bCs/>
          <w:sz w:val="18"/>
          <w:szCs w:val="18"/>
          <w:rtl/>
        </w:rPr>
      </w:pPr>
      <w:r>
        <w:rPr>
          <w:b/>
          <w:bCs/>
          <w:sz w:val="18"/>
          <w:szCs w:val="18"/>
          <w:rtl/>
        </w:rPr>
        <w:t>المراجع والمصادر:</w:t>
      </w:r>
    </w:p>
    <w:p w:rsidR="00505252" w:rsidRPr="00785C26" w:rsidRDefault="00505252" w:rsidP="006538E5">
      <w:pPr>
        <w:numPr>
          <w:ilvl w:val="0"/>
          <w:numId w:val="1"/>
        </w:numPr>
        <w:jc w:val="lowKashida"/>
        <w:rPr>
          <w:b/>
          <w:bCs/>
          <w:sz w:val="18"/>
          <w:szCs w:val="18"/>
          <w:rtl/>
        </w:rPr>
      </w:pPr>
      <w:r w:rsidRPr="00785C26">
        <w:rPr>
          <w:b/>
          <w:bCs/>
          <w:sz w:val="18"/>
          <w:szCs w:val="18"/>
          <w:rtl/>
        </w:rPr>
        <w:t>تقي الدين أحمد عبد الحليم بن تيمية ، مجموع الفتاوى، جمع وترتيب/ عبد الرحمن بن قاسم، المدينة المنورة،  طبع مجمع الملك فهد لطباعة المصحف الشريف, عام 1416هـ.</w:t>
      </w:r>
    </w:p>
    <w:p w:rsidR="00505252" w:rsidRPr="00785C26" w:rsidRDefault="00505252" w:rsidP="006538E5">
      <w:pPr>
        <w:numPr>
          <w:ilvl w:val="0"/>
          <w:numId w:val="1"/>
        </w:numPr>
        <w:jc w:val="lowKashida"/>
        <w:rPr>
          <w:b/>
          <w:bCs/>
          <w:sz w:val="18"/>
          <w:szCs w:val="18"/>
          <w:rtl/>
        </w:rPr>
      </w:pPr>
      <w:r w:rsidRPr="00785C26">
        <w:rPr>
          <w:b/>
          <w:bCs/>
          <w:sz w:val="18"/>
          <w:szCs w:val="18"/>
          <w:rtl/>
        </w:rPr>
        <w:t>علي بن علي بن محمد بن أبي العز الحنفي ، شرح العقيدة الطحاوية،  تحقيق د/ عبد الله التركي وشعيب الأرن</w:t>
      </w:r>
      <w:r w:rsidRPr="00785C26">
        <w:rPr>
          <w:b/>
          <w:bCs/>
          <w:sz w:val="18"/>
          <w:szCs w:val="18"/>
          <w:rtl/>
          <w:lang w:bidi="ar-EG"/>
        </w:rPr>
        <w:t>ؤ</w:t>
      </w:r>
      <w:r w:rsidRPr="00785C26">
        <w:rPr>
          <w:b/>
          <w:bCs/>
          <w:sz w:val="18"/>
          <w:szCs w:val="18"/>
          <w:rtl/>
        </w:rPr>
        <w:t>وط، بيروت،  الطبعة العاشرة مؤسسة الرسالة، 1417هـ.</w:t>
      </w:r>
    </w:p>
    <w:p w:rsidR="00505252" w:rsidRPr="00785C26" w:rsidRDefault="00505252" w:rsidP="006538E5">
      <w:pPr>
        <w:numPr>
          <w:ilvl w:val="0"/>
          <w:numId w:val="1"/>
        </w:numPr>
        <w:jc w:val="lowKashida"/>
        <w:rPr>
          <w:b/>
          <w:bCs/>
          <w:sz w:val="18"/>
          <w:szCs w:val="18"/>
          <w:rtl/>
        </w:rPr>
      </w:pPr>
      <w:r w:rsidRPr="00785C26">
        <w:rPr>
          <w:b/>
          <w:bCs/>
          <w:sz w:val="18"/>
          <w:szCs w:val="18"/>
          <w:rtl/>
          <w:lang w:bidi="ar-EG"/>
        </w:rPr>
        <w:t>محمد بن خليفة التميمي</w:t>
      </w:r>
      <w:r w:rsidRPr="00785C26">
        <w:rPr>
          <w:b/>
          <w:bCs/>
          <w:sz w:val="18"/>
          <w:szCs w:val="18"/>
          <w:rtl/>
        </w:rPr>
        <w:t xml:space="preserve"> ، معتقد أهل السنة والجماعة في أسماء الله الحسنى </w:t>
      </w:r>
      <w:r w:rsidRPr="00785C26">
        <w:rPr>
          <w:b/>
          <w:bCs/>
          <w:sz w:val="18"/>
          <w:szCs w:val="18"/>
          <w:rtl/>
          <w:lang w:bidi="ar-EG"/>
        </w:rPr>
        <w:t xml:space="preserve">، الرياض، مكتبة أضواء السلف الطبعة الأولى، 1419هـ.  </w:t>
      </w:r>
    </w:p>
    <w:p w:rsidR="00505252" w:rsidRPr="00785C26" w:rsidRDefault="00505252" w:rsidP="006538E5">
      <w:pPr>
        <w:numPr>
          <w:ilvl w:val="0"/>
          <w:numId w:val="1"/>
        </w:numPr>
        <w:jc w:val="lowKashida"/>
        <w:rPr>
          <w:b/>
          <w:bCs/>
          <w:sz w:val="18"/>
          <w:szCs w:val="18"/>
          <w:rtl/>
        </w:rPr>
      </w:pPr>
      <w:r w:rsidRPr="00785C26">
        <w:rPr>
          <w:b/>
          <w:bCs/>
          <w:sz w:val="18"/>
          <w:szCs w:val="18"/>
          <w:rtl/>
          <w:lang w:bidi="ar-EG"/>
        </w:rPr>
        <w:t>محمد بن أبي بكر بن قيم الجوزية</w:t>
      </w:r>
      <w:r w:rsidRPr="00785C26">
        <w:rPr>
          <w:b/>
          <w:bCs/>
          <w:sz w:val="18"/>
          <w:szCs w:val="18"/>
          <w:rtl/>
        </w:rPr>
        <w:t xml:space="preserve"> ،الصواعق المرسلة على الجهمية والمعطلة</w:t>
      </w:r>
      <w:r w:rsidRPr="00785C26">
        <w:rPr>
          <w:b/>
          <w:bCs/>
          <w:sz w:val="18"/>
          <w:szCs w:val="18"/>
          <w:rtl/>
          <w:lang w:bidi="ar-EG"/>
        </w:rPr>
        <w:t>، تحقيق: علي بن محمد الدخيل الله، الرياض، دار العاصمة، 1998م.</w:t>
      </w:r>
    </w:p>
    <w:p w:rsidR="00505252" w:rsidRPr="00785C26" w:rsidRDefault="00505252" w:rsidP="006538E5">
      <w:pPr>
        <w:numPr>
          <w:ilvl w:val="0"/>
          <w:numId w:val="1"/>
        </w:numPr>
        <w:jc w:val="lowKashida"/>
        <w:rPr>
          <w:b/>
          <w:bCs/>
          <w:sz w:val="18"/>
          <w:szCs w:val="18"/>
          <w:rtl/>
        </w:rPr>
      </w:pPr>
      <w:r w:rsidRPr="00785C26">
        <w:rPr>
          <w:b/>
          <w:bCs/>
          <w:sz w:val="18"/>
          <w:szCs w:val="18"/>
          <w:rtl/>
          <w:lang w:bidi="ar-EG"/>
        </w:rPr>
        <w:t>محمد بن أبي بكر بن قيم الجوزية</w:t>
      </w:r>
      <w:r w:rsidRPr="00785C26">
        <w:rPr>
          <w:b/>
          <w:bCs/>
          <w:sz w:val="18"/>
          <w:szCs w:val="18"/>
          <w:rtl/>
        </w:rPr>
        <w:t xml:space="preserve"> ، اجتماع الجيوش الإسلامية على غزو المعطلة والجهمية</w:t>
      </w:r>
      <w:r w:rsidRPr="00785C26">
        <w:rPr>
          <w:b/>
          <w:bCs/>
          <w:sz w:val="18"/>
          <w:szCs w:val="18"/>
          <w:rtl/>
          <w:lang w:bidi="ar-EG"/>
        </w:rPr>
        <w:t>، دار الكتب العلمية, 2003م.</w:t>
      </w:r>
    </w:p>
    <w:p w:rsidR="00505252" w:rsidRPr="00785C26" w:rsidRDefault="00505252" w:rsidP="006538E5">
      <w:pPr>
        <w:numPr>
          <w:ilvl w:val="0"/>
          <w:numId w:val="1"/>
        </w:numPr>
        <w:rPr>
          <w:b/>
          <w:bCs/>
          <w:sz w:val="18"/>
          <w:szCs w:val="18"/>
          <w:rtl/>
        </w:rPr>
      </w:pPr>
      <w:r w:rsidRPr="00785C26">
        <w:rPr>
          <w:b/>
          <w:bCs/>
          <w:sz w:val="18"/>
          <w:szCs w:val="18"/>
          <w:rtl/>
          <w:lang w:bidi="ar-EG"/>
        </w:rPr>
        <w:t>هبة الله بن الحسن اللالكائي</w:t>
      </w:r>
      <w:r w:rsidRPr="00785C26">
        <w:rPr>
          <w:b/>
          <w:bCs/>
          <w:sz w:val="18"/>
          <w:szCs w:val="18"/>
          <w:rtl/>
        </w:rPr>
        <w:t xml:space="preserve">  ، شرح أصول اعتقاد أهل السنة والجماعة</w:t>
      </w:r>
      <w:r w:rsidRPr="00785C26">
        <w:rPr>
          <w:b/>
          <w:bCs/>
          <w:sz w:val="18"/>
          <w:szCs w:val="18"/>
          <w:rtl/>
          <w:lang w:bidi="ar-EG"/>
        </w:rPr>
        <w:t>،  تحقيق ، أحمد سعد حمدان، الرياض، دار طيبة، 1982م.</w:t>
      </w:r>
    </w:p>
    <w:p w:rsidR="00505252" w:rsidRPr="00785C26" w:rsidRDefault="00505252" w:rsidP="006538E5">
      <w:pPr>
        <w:numPr>
          <w:ilvl w:val="0"/>
          <w:numId w:val="1"/>
        </w:numPr>
        <w:jc w:val="lowKashida"/>
        <w:rPr>
          <w:b/>
          <w:bCs/>
          <w:sz w:val="18"/>
          <w:szCs w:val="18"/>
          <w:rtl/>
        </w:rPr>
      </w:pPr>
      <w:r w:rsidRPr="00785C26">
        <w:rPr>
          <w:b/>
          <w:bCs/>
          <w:sz w:val="18"/>
          <w:szCs w:val="18"/>
          <w:rtl/>
          <w:lang w:bidi="ar-EG"/>
        </w:rPr>
        <w:t xml:space="preserve">محمد بن إسحاق بن خزيمة  </w:t>
      </w:r>
      <w:r w:rsidRPr="00785C26">
        <w:rPr>
          <w:b/>
          <w:bCs/>
          <w:sz w:val="18"/>
          <w:szCs w:val="18"/>
          <w:rtl/>
        </w:rPr>
        <w:t xml:space="preserve">، كتاب التوحيد وإثبات صفات الرب عز وجل ، </w:t>
      </w:r>
      <w:r w:rsidRPr="00785C26">
        <w:rPr>
          <w:b/>
          <w:bCs/>
          <w:sz w:val="18"/>
          <w:szCs w:val="18"/>
          <w:rtl/>
          <w:lang w:bidi="ar-EG"/>
        </w:rPr>
        <w:t>تحقيق: عبد العزيز الشهوان، الرياض، دار الرشد للنشر والتوزيع،1987م.</w:t>
      </w:r>
    </w:p>
    <w:p w:rsidR="00505252" w:rsidRPr="00785C26" w:rsidRDefault="00505252" w:rsidP="006538E5">
      <w:pPr>
        <w:numPr>
          <w:ilvl w:val="0"/>
          <w:numId w:val="1"/>
        </w:numPr>
        <w:jc w:val="lowKashida"/>
        <w:rPr>
          <w:b/>
          <w:bCs/>
          <w:sz w:val="18"/>
          <w:szCs w:val="18"/>
          <w:rtl/>
        </w:rPr>
      </w:pPr>
      <w:r w:rsidRPr="00785C26">
        <w:rPr>
          <w:b/>
          <w:bCs/>
          <w:sz w:val="18"/>
          <w:szCs w:val="18"/>
          <w:rtl/>
          <w:lang w:bidi="ar-EG"/>
        </w:rPr>
        <w:t>محمد ناصر الدين الألباني</w:t>
      </w:r>
      <w:r w:rsidRPr="00785C26">
        <w:rPr>
          <w:b/>
          <w:bCs/>
          <w:sz w:val="18"/>
          <w:szCs w:val="18"/>
          <w:rtl/>
        </w:rPr>
        <w:t xml:space="preserve"> ، مختصر العلو للعلي الغفار </w:t>
      </w:r>
      <w:r w:rsidRPr="00785C26">
        <w:rPr>
          <w:b/>
          <w:bCs/>
          <w:sz w:val="18"/>
          <w:szCs w:val="18"/>
          <w:rtl/>
          <w:lang w:bidi="ar-EG"/>
        </w:rPr>
        <w:t>، المكتب الإسلامي، 1980م.</w:t>
      </w:r>
    </w:p>
    <w:p w:rsidR="00505252" w:rsidRPr="00785C26" w:rsidRDefault="00505252" w:rsidP="006538E5">
      <w:pPr>
        <w:numPr>
          <w:ilvl w:val="0"/>
          <w:numId w:val="1"/>
        </w:numPr>
        <w:jc w:val="lowKashida"/>
        <w:rPr>
          <w:b/>
          <w:bCs/>
          <w:sz w:val="18"/>
          <w:szCs w:val="18"/>
          <w:rtl/>
        </w:rPr>
      </w:pPr>
      <w:r w:rsidRPr="00785C26">
        <w:rPr>
          <w:b/>
          <w:bCs/>
          <w:sz w:val="18"/>
          <w:szCs w:val="18"/>
          <w:rtl/>
          <w:lang w:bidi="ar-EG"/>
        </w:rPr>
        <w:t>محمد بن صالح بن عثيمين</w:t>
      </w:r>
      <w:r w:rsidRPr="00785C26">
        <w:rPr>
          <w:b/>
          <w:bCs/>
          <w:sz w:val="18"/>
          <w:szCs w:val="18"/>
          <w:rtl/>
        </w:rPr>
        <w:t xml:space="preserve"> ، القواعد المثلى في صفات الله وأسمائه الحسنى</w:t>
      </w:r>
      <w:r w:rsidRPr="00785C26">
        <w:rPr>
          <w:b/>
          <w:bCs/>
          <w:sz w:val="18"/>
          <w:szCs w:val="18"/>
          <w:rtl/>
          <w:lang w:bidi="ar-EG"/>
        </w:rPr>
        <w:t>، تحقيق: أشرف عبد المقصود، القاهرة، مكتبة السنة، 1993م.</w:t>
      </w:r>
    </w:p>
    <w:p w:rsidR="00505252" w:rsidRPr="00785C26" w:rsidRDefault="00505252" w:rsidP="006538E5">
      <w:pPr>
        <w:numPr>
          <w:ilvl w:val="0"/>
          <w:numId w:val="1"/>
        </w:numPr>
        <w:jc w:val="lowKashida"/>
        <w:rPr>
          <w:b/>
          <w:bCs/>
          <w:sz w:val="18"/>
          <w:szCs w:val="18"/>
          <w:rtl/>
        </w:rPr>
      </w:pPr>
      <w:r w:rsidRPr="00785C26">
        <w:rPr>
          <w:b/>
          <w:bCs/>
          <w:sz w:val="18"/>
          <w:szCs w:val="18"/>
          <w:rtl/>
          <w:lang w:bidi="ar-EG"/>
        </w:rPr>
        <w:t>إبراهيم البريكان</w:t>
      </w:r>
      <w:r w:rsidRPr="00785C26">
        <w:rPr>
          <w:b/>
          <w:bCs/>
          <w:sz w:val="18"/>
          <w:szCs w:val="18"/>
          <w:rtl/>
        </w:rPr>
        <w:t xml:space="preserve"> ، القواعد الكلية للأسماء والصفات عند السلف </w:t>
      </w:r>
      <w:r w:rsidRPr="00785C26">
        <w:rPr>
          <w:b/>
          <w:bCs/>
          <w:sz w:val="18"/>
          <w:szCs w:val="18"/>
          <w:rtl/>
          <w:lang w:bidi="ar-EG"/>
        </w:rPr>
        <w:t>، الدمام،  دار ابن القيم، 2004م</w:t>
      </w:r>
    </w:p>
    <w:p w:rsidR="00505252" w:rsidRPr="00785C26" w:rsidRDefault="00505252" w:rsidP="006538E5">
      <w:pPr>
        <w:numPr>
          <w:ilvl w:val="0"/>
          <w:numId w:val="1"/>
        </w:numPr>
        <w:jc w:val="lowKashida"/>
        <w:rPr>
          <w:b/>
          <w:bCs/>
          <w:sz w:val="18"/>
          <w:szCs w:val="18"/>
          <w:rtl/>
        </w:rPr>
      </w:pPr>
      <w:r w:rsidRPr="00785C26">
        <w:rPr>
          <w:b/>
          <w:bCs/>
          <w:sz w:val="18"/>
          <w:szCs w:val="18"/>
          <w:rtl/>
          <w:lang w:bidi="ar-EG"/>
        </w:rPr>
        <w:t>عمر سليمان  الأشقر</w:t>
      </w:r>
      <w:r w:rsidRPr="00785C26">
        <w:rPr>
          <w:b/>
          <w:bCs/>
          <w:sz w:val="18"/>
          <w:szCs w:val="18"/>
          <w:rtl/>
        </w:rPr>
        <w:t xml:space="preserve">  ، الأسماء والصفات في معتقد أهل السنة والجماعة</w:t>
      </w:r>
      <w:r w:rsidRPr="00785C26">
        <w:rPr>
          <w:b/>
          <w:bCs/>
          <w:sz w:val="18"/>
          <w:szCs w:val="18"/>
          <w:rtl/>
          <w:lang w:bidi="ar-EG"/>
        </w:rPr>
        <w:t>، الأردن، دار النفائس للنشر والتوزيع، 1992م.</w:t>
      </w:r>
    </w:p>
    <w:p w:rsidR="00505252" w:rsidRPr="00785C26" w:rsidRDefault="00505252" w:rsidP="006538E5">
      <w:pPr>
        <w:numPr>
          <w:ilvl w:val="0"/>
          <w:numId w:val="1"/>
        </w:numPr>
        <w:jc w:val="lowKashida"/>
        <w:rPr>
          <w:b/>
          <w:bCs/>
          <w:sz w:val="18"/>
          <w:szCs w:val="18"/>
          <w:rtl/>
        </w:rPr>
      </w:pPr>
      <w:r w:rsidRPr="00785C26">
        <w:rPr>
          <w:b/>
          <w:bCs/>
          <w:sz w:val="18"/>
          <w:szCs w:val="18"/>
          <w:rtl/>
          <w:lang w:bidi="ar-EG"/>
        </w:rPr>
        <w:t>أحمد عبد الرحمن القاضي</w:t>
      </w:r>
      <w:r w:rsidRPr="00785C26">
        <w:rPr>
          <w:b/>
          <w:bCs/>
          <w:sz w:val="18"/>
          <w:szCs w:val="18"/>
          <w:rtl/>
        </w:rPr>
        <w:t xml:space="preserve">  ، مذهب أهل التفويض في نصوص الصفات "عرض ونقد"</w:t>
      </w:r>
      <w:r w:rsidRPr="00785C26">
        <w:rPr>
          <w:b/>
          <w:bCs/>
          <w:sz w:val="18"/>
          <w:szCs w:val="18"/>
          <w:rtl/>
          <w:lang w:bidi="ar-EG"/>
        </w:rPr>
        <w:t>، الرياض، دار العاصمة، 1995م.</w:t>
      </w:r>
    </w:p>
    <w:p w:rsidR="00505252" w:rsidRPr="00785C26" w:rsidRDefault="00505252" w:rsidP="006538E5">
      <w:pPr>
        <w:numPr>
          <w:ilvl w:val="0"/>
          <w:numId w:val="1"/>
        </w:numPr>
        <w:jc w:val="lowKashida"/>
        <w:rPr>
          <w:b/>
          <w:bCs/>
          <w:sz w:val="18"/>
          <w:szCs w:val="18"/>
          <w:rtl/>
        </w:rPr>
      </w:pPr>
      <w:r w:rsidRPr="00785C26">
        <w:rPr>
          <w:b/>
          <w:bCs/>
          <w:sz w:val="18"/>
          <w:szCs w:val="18"/>
          <w:rtl/>
          <w:lang w:bidi="ar-EG"/>
        </w:rPr>
        <w:t>عبد الرحيم السلمي</w:t>
      </w:r>
      <w:r w:rsidRPr="00785C26">
        <w:rPr>
          <w:b/>
          <w:bCs/>
          <w:sz w:val="18"/>
          <w:szCs w:val="18"/>
          <w:rtl/>
        </w:rPr>
        <w:t xml:space="preserve"> ، حقيقة التوحيد بين أهل السنة والمتكلمين</w:t>
      </w:r>
      <w:r w:rsidRPr="00785C26">
        <w:rPr>
          <w:b/>
          <w:bCs/>
          <w:sz w:val="18"/>
          <w:szCs w:val="18"/>
          <w:rtl/>
          <w:lang w:bidi="ar-EG"/>
        </w:rPr>
        <w:t>، الرياض، دار المعلمة للنشر والتوزيع، 2000م.</w:t>
      </w:r>
    </w:p>
    <w:p w:rsidR="00505252" w:rsidRPr="006538E5" w:rsidRDefault="00505252" w:rsidP="006538E5">
      <w:pPr>
        <w:spacing w:after="120" w:line="500" w:lineRule="exact"/>
        <w:jc w:val="center"/>
        <w:rPr>
          <w:rFonts w:ascii="Tahoma" w:hAnsi="Tahoma"/>
          <w:b/>
          <w:bCs/>
          <w:sz w:val="32"/>
          <w:szCs w:val="32"/>
          <w:rtl/>
        </w:rPr>
        <w:sectPr w:rsidR="00505252" w:rsidRPr="006538E5" w:rsidSect="006538E5">
          <w:type w:val="continuous"/>
          <w:pgSz w:w="11906" w:h="16838" w:code="9"/>
          <w:pgMar w:top="731" w:right="737" w:bottom="2432" w:left="737" w:header="720" w:footer="720" w:gutter="0"/>
          <w:cols w:num="2" w:space="720"/>
          <w:titlePg/>
          <w:bidi/>
          <w:rtlGutter/>
          <w:docGrid w:linePitch="360"/>
        </w:sectPr>
      </w:pPr>
    </w:p>
    <w:p w:rsidR="00505252" w:rsidRPr="006538E5" w:rsidRDefault="00505252" w:rsidP="00D05675"/>
    <w:sectPr w:rsidR="00505252" w:rsidRPr="006538E5" w:rsidSect="004168A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82C" w:rsidRDefault="00EB482C" w:rsidP="006538E5">
      <w:r>
        <w:separator/>
      </w:r>
    </w:p>
  </w:endnote>
  <w:endnote w:type="continuationSeparator" w:id="1">
    <w:p w:rsidR="00EB482C" w:rsidRDefault="00EB482C" w:rsidP="006538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ateen">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 Arabesque">
    <w:altName w:val="Symbol"/>
    <w:charset w:val="02"/>
    <w:family w:val="auto"/>
    <w:pitch w:val="variable"/>
    <w:sig w:usb0="00000000" w:usb1="10000000" w:usb2="00000000" w:usb3="00000000" w:csb0="80000000" w:csb1="00000000"/>
  </w:font>
  <w:font w:name="SC_ALYERMOOK">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DecoType Thuluth">
    <w:altName w:val="Times New Roman"/>
    <w:charset w:val="B2"/>
    <w:family w:val="auto"/>
    <w:pitch w:val="variable"/>
    <w:sig w:usb0="00002000" w:usb1="80000000" w:usb2="00000008" w:usb3="00000000" w:csb0="00000040" w:csb1="00000000"/>
  </w:font>
  <w:font w:name="QCF_P153">
    <w:altName w:val="Times New Roman"/>
    <w:charset w:val="00"/>
    <w:family w:val="auto"/>
    <w:pitch w:val="variable"/>
    <w:sig w:usb0="00000000" w:usb1="90000000" w:usb2="00000008" w:usb3="00000000" w:csb0="80000041" w:csb1="00000000"/>
  </w:font>
  <w:font w:name="QCF_P227">
    <w:altName w:val="Times New Roman"/>
    <w:charset w:val="00"/>
    <w:family w:val="auto"/>
    <w:pitch w:val="variable"/>
    <w:sig w:usb0="00000000" w:usb1="90000000" w:usb2="00000008" w:usb3="00000000" w:csb0="80000041" w:csb1="00000000"/>
  </w:font>
  <w:font w:name="QCF_P260">
    <w:altName w:val="Times New Roman"/>
    <w:charset w:val="00"/>
    <w:family w:val="auto"/>
    <w:pitch w:val="variable"/>
    <w:sig w:usb0="00000000" w:usb1="90000000" w:usb2="00000008" w:usb3="00000000" w:csb0="8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82C" w:rsidRDefault="00EB482C" w:rsidP="006538E5">
      <w:r>
        <w:separator/>
      </w:r>
    </w:p>
  </w:footnote>
  <w:footnote w:type="continuationSeparator" w:id="1">
    <w:p w:rsidR="00EB482C" w:rsidRDefault="00EB482C" w:rsidP="006538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28C"/>
    <w:multiLevelType w:val="hybridMultilevel"/>
    <w:tmpl w:val="5F7ECD24"/>
    <w:lvl w:ilvl="0" w:tplc="DDAE06A2">
      <w:start w:val="1"/>
      <w:numFmt w:val="bullet"/>
      <w:lvlText w:val=""/>
      <w:lvlJc w:val="center"/>
      <w:pPr>
        <w:ind w:left="1543" w:hanging="360"/>
      </w:pPr>
      <w:rPr>
        <w:rFonts w:ascii="Symbol" w:hAnsi="Symbol" w:hint="default"/>
      </w:rPr>
    </w:lvl>
    <w:lvl w:ilvl="1" w:tplc="04090003">
      <w:start w:val="1"/>
      <w:numFmt w:val="bullet"/>
      <w:lvlText w:val="o"/>
      <w:lvlJc w:val="left"/>
      <w:pPr>
        <w:ind w:left="2263" w:hanging="360"/>
      </w:pPr>
      <w:rPr>
        <w:rFonts w:ascii="Courier New" w:hAnsi="Courier New" w:hint="default"/>
      </w:rPr>
    </w:lvl>
    <w:lvl w:ilvl="2" w:tplc="04090005">
      <w:start w:val="1"/>
      <w:numFmt w:val="bullet"/>
      <w:lvlText w:val=""/>
      <w:lvlJc w:val="left"/>
      <w:pPr>
        <w:ind w:left="2983" w:hanging="360"/>
      </w:pPr>
      <w:rPr>
        <w:rFonts w:ascii="Wingdings" w:hAnsi="Wingdings" w:hint="default"/>
      </w:rPr>
    </w:lvl>
    <w:lvl w:ilvl="3" w:tplc="04090001">
      <w:start w:val="1"/>
      <w:numFmt w:val="bullet"/>
      <w:lvlText w:val=""/>
      <w:lvlJc w:val="left"/>
      <w:pPr>
        <w:ind w:left="3703" w:hanging="360"/>
      </w:pPr>
      <w:rPr>
        <w:rFonts w:ascii="Symbol" w:hAnsi="Symbol" w:hint="default"/>
      </w:rPr>
    </w:lvl>
    <w:lvl w:ilvl="4" w:tplc="04090003">
      <w:start w:val="1"/>
      <w:numFmt w:val="bullet"/>
      <w:lvlText w:val="o"/>
      <w:lvlJc w:val="left"/>
      <w:pPr>
        <w:ind w:left="4423" w:hanging="360"/>
      </w:pPr>
      <w:rPr>
        <w:rFonts w:ascii="Courier New" w:hAnsi="Courier New" w:hint="default"/>
      </w:rPr>
    </w:lvl>
    <w:lvl w:ilvl="5" w:tplc="04090005">
      <w:start w:val="1"/>
      <w:numFmt w:val="bullet"/>
      <w:lvlText w:val=""/>
      <w:lvlJc w:val="left"/>
      <w:pPr>
        <w:ind w:left="5143" w:hanging="360"/>
      </w:pPr>
      <w:rPr>
        <w:rFonts w:ascii="Wingdings" w:hAnsi="Wingdings" w:hint="default"/>
      </w:rPr>
    </w:lvl>
    <w:lvl w:ilvl="6" w:tplc="04090001">
      <w:start w:val="1"/>
      <w:numFmt w:val="bullet"/>
      <w:lvlText w:val=""/>
      <w:lvlJc w:val="left"/>
      <w:pPr>
        <w:ind w:left="5863" w:hanging="360"/>
      </w:pPr>
      <w:rPr>
        <w:rFonts w:ascii="Symbol" w:hAnsi="Symbol" w:hint="default"/>
      </w:rPr>
    </w:lvl>
    <w:lvl w:ilvl="7" w:tplc="04090003">
      <w:start w:val="1"/>
      <w:numFmt w:val="bullet"/>
      <w:lvlText w:val="o"/>
      <w:lvlJc w:val="left"/>
      <w:pPr>
        <w:ind w:left="6583" w:hanging="360"/>
      </w:pPr>
      <w:rPr>
        <w:rFonts w:ascii="Courier New" w:hAnsi="Courier New" w:hint="default"/>
      </w:rPr>
    </w:lvl>
    <w:lvl w:ilvl="8" w:tplc="04090005">
      <w:start w:val="1"/>
      <w:numFmt w:val="bullet"/>
      <w:lvlText w:val=""/>
      <w:lvlJc w:val="left"/>
      <w:pPr>
        <w:ind w:left="7303" w:hanging="360"/>
      </w:pPr>
      <w:rPr>
        <w:rFonts w:ascii="Wingdings" w:hAnsi="Wingdings" w:hint="default"/>
      </w:rPr>
    </w:lvl>
  </w:abstractNum>
  <w:abstractNum w:abstractNumId="1">
    <w:nsid w:val="456E4553"/>
    <w:multiLevelType w:val="hybridMultilevel"/>
    <w:tmpl w:val="6E0A04EA"/>
    <w:lvl w:ilvl="0" w:tplc="1BB2DDB4">
      <w:start w:val="1"/>
      <w:numFmt w:val="bullet"/>
      <w:lvlText w:val=""/>
      <w:lvlJc w:val="center"/>
      <w:pPr>
        <w:ind w:left="1723" w:hanging="360"/>
      </w:pPr>
      <w:rPr>
        <w:rFonts w:ascii="Symbol" w:hAnsi="Symbol" w:hint="default"/>
      </w:rPr>
    </w:lvl>
    <w:lvl w:ilvl="1" w:tplc="04090003">
      <w:start w:val="1"/>
      <w:numFmt w:val="bullet"/>
      <w:lvlText w:val="o"/>
      <w:lvlJc w:val="left"/>
      <w:pPr>
        <w:ind w:left="2443" w:hanging="360"/>
      </w:pPr>
      <w:rPr>
        <w:rFonts w:ascii="Courier New" w:hAnsi="Courier New" w:hint="default"/>
      </w:rPr>
    </w:lvl>
    <w:lvl w:ilvl="2" w:tplc="04090005">
      <w:start w:val="1"/>
      <w:numFmt w:val="bullet"/>
      <w:lvlText w:val=""/>
      <w:lvlJc w:val="left"/>
      <w:pPr>
        <w:ind w:left="3163" w:hanging="360"/>
      </w:pPr>
      <w:rPr>
        <w:rFonts w:ascii="Wingdings" w:hAnsi="Wingdings" w:hint="default"/>
      </w:rPr>
    </w:lvl>
    <w:lvl w:ilvl="3" w:tplc="04090001">
      <w:start w:val="1"/>
      <w:numFmt w:val="bullet"/>
      <w:lvlText w:val=""/>
      <w:lvlJc w:val="left"/>
      <w:pPr>
        <w:ind w:left="3883" w:hanging="360"/>
      </w:pPr>
      <w:rPr>
        <w:rFonts w:ascii="Symbol" w:hAnsi="Symbol" w:hint="default"/>
      </w:rPr>
    </w:lvl>
    <w:lvl w:ilvl="4" w:tplc="04090003">
      <w:start w:val="1"/>
      <w:numFmt w:val="bullet"/>
      <w:lvlText w:val="o"/>
      <w:lvlJc w:val="left"/>
      <w:pPr>
        <w:ind w:left="4603" w:hanging="360"/>
      </w:pPr>
      <w:rPr>
        <w:rFonts w:ascii="Courier New" w:hAnsi="Courier New" w:hint="default"/>
      </w:rPr>
    </w:lvl>
    <w:lvl w:ilvl="5" w:tplc="04090005">
      <w:start w:val="1"/>
      <w:numFmt w:val="bullet"/>
      <w:lvlText w:val=""/>
      <w:lvlJc w:val="left"/>
      <w:pPr>
        <w:ind w:left="5323" w:hanging="360"/>
      </w:pPr>
      <w:rPr>
        <w:rFonts w:ascii="Wingdings" w:hAnsi="Wingdings" w:hint="default"/>
      </w:rPr>
    </w:lvl>
    <w:lvl w:ilvl="6" w:tplc="04090001">
      <w:start w:val="1"/>
      <w:numFmt w:val="bullet"/>
      <w:lvlText w:val=""/>
      <w:lvlJc w:val="left"/>
      <w:pPr>
        <w:ind w:left="6043" w:hanging="360"/>
      </w:pPr>
      <w:rPr>
        <w:rFonts w:ascii="Symbol" w:hAnsi="Symbol" w:hint="default"/>
      </w:rPr>
    </w:lvl>
    <w:lvl w:ilvl="7" w:tplc="04090003">
      <w:start w:val="1"/>
      <w:numFmt w:val="bullet"/>
      <w:lvlText w:val="o"/>
      <w:lvlJc w:val="left"/>
      <w:pPr>
        <w:ind w:left="6763" w:hanging="360"/>
      </w:pPr>
      <w:rPr>
        <w:rFonts w:ascii="Courier New" w:hAnsi="Courier New" w:hint="default"/>
      </w:rPr>
    </w:lvl>
    <w:lvl w:ilvl="8" w:tplc="04090005">
      <w:start w:val="1"/>
      <w:numFmt w:val="bullet"/>
      <w:lvlText w:val=""/>
      <w:lvlJc w:val="left"/>
      <w:pPr>
        <w:ind w:left="7483" w:hanging="360"/>
      </w:pPr>
      <w:rPr>
        <w:rFonts w:ascii="Wingdings" w:hAnsi="Wingdings" w:hint="default"/>
      </w:rPr>
    </w:lvl>
  </w:abstractNum>
  <w:abstractNum w:abstractNumId="2">
    <w:nsid w:val="6DF110E4"/>
    <w:multiLevelType w:val="hybridMultilevel"/>
    <w:tmpl w:val="C34E3724"/>
    <w:lvl w:ilvl="0" w:tplc="C3DC540E">
      <w:start w:val="1"/>
      <w:numFmt w:val="decimal"/>
      <w:lvlText w:val="%1."/>
      <w:lvlJc w:val="left"/>
      <w:pPr>
        <w:tabs>
          <w:tab w:val="num" w:pos="510"/>
        </w:tabs>
        <w:ind w:left="510" w:hanging="283"/>
      </w:pPr>
      <w:rPr>
        <w:rFonts w:cs="AL-Matee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38E5"/>
    <w:rsid w:val="000A62AF"/>
    <w:rsid w:val="001A2769"/>
    <w:rsid w:val="001D535C"/>
    <w:rsid w:val="004168A0"/>
    <w:rsid w:val="004219C3"/>
    <w:rsid w:val="00462418"/>
    <w:rsid w:val="00505252"/>
    <w:rsid w:val="00540ECE"/>
    <w:rsid w:val="00620401"/>
    <w:rsid w:val="006538E5"/>
    <w:rsid w:val="0069131C"/>
    <w:rsid w:val="0073536F"/>
    <w:rsid w:val="00785C26"/>
    <w:rsid w:val="00907733"/>
    <w:rsid w:val="00916DA5"/>
    <w:rsid w:val="009706A9"/>
    <w:rsid w:val="009B11D6"/>
    <w:rsid w:val="009F3664"/>
    <w:rsid w:val="00B014A4"/>
    <w:rsid w:val="00CA1913"/>
    <w:rsid w:val="00D05675"/>
    <w:rsid w:val="00D348FB"/>
    <w:rsid w:val="00DD1510"/>
    <w:rsid w:val="00E31343"/>
    <w:rsid w:val="00EB482C"/>
    <w:rsid w:val="00F96757"/>
    <w:rsid w:val="00FE0D55"/>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8E5"/>
    <w:pPr>
      <w:bidi/>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538E5"/>
    <w:pPr>
      <w:bidi w:val="0"/>
      <w:spacing w:before="100" w:beforeAutospacing="1" w:after="100" w:afterAutospacing="1"/>
    </w:pPr>
  </w:style>
  <w:style w:type="paragraph" w:styleId="Header">
    <w:name w:val="header"/>
    <w:basedOn w:val="Normal"/>
    <w:link w:val="HeaderChar"/>
    <w:uiPriority w:val="99"/>
    <w:rsid w:val="006538E5"/>
    <w:pPr>
      <w:tabs>
        <w:tab w:val="center" w:pos="4153"/>
        <w:tab w:val="right" w:pos="8306"/>
      </w:tabs>
    </w:pPr>
  </w:style>
  <w:style w:type="character" w:customStyle="1" w:styleId="HeaderChar">
    <w:name w:val="Header Char"/>
    <w:basedOn w:val="DefaultParagraphFont"/>
    <w:link w:val="Header"/>
    <w:uiPriority w:val="99"/>
    <w:locked/>
    <w:rsid w:val="006538E5"/>
    <w:rPr>
      <w:rFonts w:ascii="Times New Roman" w:hAnsi="Times New Roman" w:cs="Times New Roman"/>
      <w:sz w:val="24"/>
      <w:szCs w:val="24"/>
    </w:rPr>
  </w:style>
  <w:style w:type="character" w:styleId="PageNumber">
    <w:name w:val="page number"/>
    <w:basedOn w:val="DefaultParagraphFont"/>
    <w:uiPriority w:val="99"/>
    <w:rsid w:val="006538E5"/>
    <w:rPr>
      <w:rFonts w:cs="Times New Roman"/>
    </w:rPr>
  </w:style>
  <w:style w:type="paragraph" w:styleId="Footer">
    <w:name w:val="footer"/>
    <w:basedOn w:val="Normal"/>
    <w:link w:val="FooterChar"/>
    <w:uiPriority w:val="99"/>
    <w:semiHidden/>
    <w:rsid w:val="006538E5"/>
    <w:pPr>
      <w:tabs>
        <w:tab w:val="center" w:pos="4153"/>
        <w:tab w:val="right" w:pos="8306"/>
      </w:tabs>
    </w:pPr>
  </w:style>
  <w:style w:type="character" w:customStyle="1" w:styleId="FooterChar">
    <w:name w:val="Footer Char"/>
    <w:basedOn w:val="DefaultParagraphFont"/>
    <w:link w:val="Footer"/>
    <w:uiPriority w:val="99"/>
    <w:semiHidden/>
    <w:locked/>
    <w:rsid w:val="006538E5"/>
    <w:rPr>
      <w:rFonts w:ascii="Times New Roman" w:hAnsi="Times New Roman" w:cs="Times New Roman"/>
      <w:sz w:val="24"/>
      <w:szCs w:val="24"/>
    </w:rPr>
  </w:style>
  <w:style w:type="paragraph" w:customStyle="1" w:styleId="Affiliation">
    <w:name w:val="Affiliation"/>
    <w:uiPriority w:val="99"/>
    <w:rsid w:val="006538E5"/>
    <w:pPr>
      <w:suppressAutoHyphens/>
      <w:jc w:val="center"/>
    </w:pPr>
    <w:rPr>
      <w:rFonts w:ascii="Times New Roman" w:eastAsia="SimSun" w:hAnsi="Times New Roman" w:cs="Times New Roman"/>
      <w:lang w:eastAsia="zh-CN"/>
    </w:rPr>
  </w:style>
  <w:style w:type="paragraph" w:customStyle="1" w:styleId="Author">
    <w:name w:val="Author"/>
    <w:uiPriority w:val="99"/>
    <w:rsid w:val="006538E5"/>
    <w:pPr>
      <w:suppressAutoHyphens/>
      <w:spacing w:before="360" w:after="40"/>
      <w:jc w:val="center"/>
    </w:pPr>
    <w:rPr>
      <w:rFonts w:ascii="Times New Roman" w:eastAsia="SimSun" w:hAnsi="Times New Roman" w:cs="Times New Roman"/>
      <w:sz w:val="22"/>
      <w:szCs w:val="22"/>
    </w:rPr>
  </w:style>
  <w:style w:type="paragraph" w:styleId="ListParagraph">
    <w:name w:val="List Paragraph"/>
    <w:basedOn w:val="Normal"/>
    <w:uiPriority w:val="99"/>
    <w:qFormat/>
    <w:rsid w:val="006538E5"/>
    <w:pPr>
      <w:spacing w:after="200" w:line="276" w:lineRule="auto"/>
      <w:ind w:left="720"/>
    </w:pPr>
    <w:rPr>
      <w:rFonts w:ascii="Calibri" w:eastAsia="Calibri" w:hAnsi="Calibri" w:cs="Arial"/>
      <w:sz w:val="22"/>
      <w:szCs w:val="22"/>
    </w:rPr>
  </w:style>
  <w:style w:type="character" w:styleId="Hyperlink">
    <w:name w:val="Hyperlink"/>
    <w:basedOn w:val="DefaultParagraphFont"/>
    <w:uiPriority w:val="99"/>
    <w:rsid w:val="006538E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imaa.abdelmajeed@mediu.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786</Words>
  <Characters>4483</Characters>
  <Application>Microsoft Office Word</Application>
  <DocSecurity>0</DocSecurity>
  <Lines>37</Lines>
  <Paragraphs>10</Paragraphs>
  <ScaleCrop>false</ScaleCrop>
  <Company>Fannan</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Fannan NewLook V5</dc:creator>
  <cp:keywords/>
  <dc:description/>
  <cp:lastModifiedBy>User</cp:lastModifiedBy>
  <cp:revision>8</cp:revision>
  <dcterms:created xsi:type="dcterms:W3CDTF">2013-06-23T06:58:00Z</dcterms:created>
  <dcterms:modified xsi:type="dcterms:W3CDTF">2013-06-25T09:32:00Z</dcterms:modified>
</cp:coreProperties>
</file>