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B77106" w:rsidP="00B77106">
      <w:pPr>
        <w:spacing w:line="240" w:lineRule="auto"/>
        <w:jc w:val="center"/>
        <w:rPr>
          <w:i/>
          <w:iCs/>
          <w:rtl/>
        </w:rPr>
      </w:pPr>
      <w:r w:rsidRPr="00B77106">
        <w:rPr>
          <w:rFonts w:asciiTheme="majorBidi" w:eastAsia="Calibri" w:hAnsiTheme="majorBidi" w:cstheme="majorBidi"/>
          <w:i/>
          <w:iCs/>
          <w:sz w:val="48"/>
          <w:szCs w:val="48"/>
          <w:rtl/>
        </w:rPr>
        <w:t>أحكام</w:t>
      </w:r>
      <w:r w:rsidR="00EF7E01">
        <w:rPr>
          <w:rFonts w:asciiTheme="majorBidi" w:eastAsia="Calibri" w:hAnsiTheme="majorBidi" w:cstheme="majorBidi" w:hint="cs"/>
          <w:i/>
          <w:iCs/>
          <w:sz w:val="48"/>
          <w:szCs w:val="48"/>
          <w:rtl/>
        </w:rPr>
        <w:t xml:space="preserve"> مقاصد الشريعة</w:t>
      </w:r>
    </w:p>
    <w:p w:rsidR="00B77106" w:rsidRPr="00B77106" w:rsidRDefault="00B77106" w:rsidP="00B77106">
      <w:pPr>
        <w:spacing w:line="240" w:lineRule="auto"/>
        <w:jc w:val="center"/>
        <w:rPr>
          <w:i/>
          <w:iCs/>
          <w:sz w:val="48"/>
          <w:szCs w:val="48"/>
          <w:rtl/>
        </w:rPr>
      </w:pPr>
      <w:r w:rsidRPr="00B77106">
        <w:rPr>
          <w:rFonts w:hint="cs"/>
          <w:i/>
          <w:iCs/>
          <w:sz w:val="48"/>
          <w:szCs w:val="48"/>
          <w:rtl/>
        </w:rPr>
        <w:t>(1)</w:t>
      </w:r>
    </w:p>
    <w:p w:rsidR="00CA0EA2" w:rsidRPr="009264EA" w:rsidRDefault="00CA0EA2" w:rsidP="00CA0EA2">
      <w:pPr>
        <w:pStyle w:val="papersubtitle"/>
        <w:bidi/>
        <w:rPr>
          <w:i/>
          <w:iCs/>
          <w:rtl/>
          <w:lang w:bidi="ar-EG"/>
        </w:rPr>
      </w:pPr>
      <w:r w:rsidRPr="009264EA">
        <w:rPr>
          <w:i/>
          <w:iCs/>
          <w:rtl/>
        </w:rPr>
        <w:t xml:space="preserve">بحث  فى </w:t>
      </w:r>
      <w:r>
        <w:rPr>
          <w:rFonts w:hint="cs"/>
          <w:i/>
          <w:iCs/>
          <w:rtl/>
        </w:rPr>
        <w:t>مقاصد الشريعة</w:t>
      </w:r>
    </w:p>
    <w:p w:rsidR="00CA0EA2" w:rsidRPr="009264EA" w:rsidRDefault="00CA0EA2" w:rsidP="00CA0EA2">
      <w:pPr>
        <w:pStyle w:val="papersubtitle"/>
        <w:bidi/>
        <w:rPr>
          <w:i/>
          <w:iCs/>
          <w:sz w:val="24"/>
          <w:szCs w:val="24"/>
        </w:rPr>
      </w:pPr>
      <w:r w:rsidRPr="009264EA">
        <w:rPr>
          <w:i/>
          <w:iCs/>
          <w:sz w:val="24"/>
          <w:szCs w:val="24"/>
          <w:rtl/>
        </w:rPr>
        <w:t xml:space="preserve">إعداد أ/ </w:t>
      </w:r>
      <w:r w:rsidRPr="00D36F81">
        <w:rPr>
          <w:rFonts w:hint="cs"/>
          <w:i/>
          <w:iCs/>
          <w:sz w:val="24"/>
          <w:szCs w:val="24"/>
          <w:rtl/>
        </w:rPr>
        <w:t>ميريهان</w:t>
      </w:r>
      <w:r w:rsidRPr="00D36F81">
        <w:rPr>
          <w:i/>
          <w:iCs/>
          <w:sz w:val="24"/>
          <w:szCs w:val="24"/>
          <w:rtl/>
        </w:rPr>
        <w:t xml:space="preserve"> </w:t>
      </w:r>
      <w:r w:rsidRPr="00D36F81">
        <w:rPr>
          <w:rFonts w:hint="cs"/>
          <w:i/>
          <w:iCs/>
          <w:sz w:val="24"/>
          <w:szCs w:val="24"/>
          <w:rtl/>
        </w:rPr>
        <w:t>مجدي</w:t>
      </w:r>
      <w:r w:rsidRPr="00D36F81">
        <w:rPr>
          <w:i/>
          <w:iCs/>
          <w:sz w:val="24"/>
          <w:szCs w:val="24"/>
          <w:rtl/>
        </w:rPr>
        <w:t xml:space="preserve"> </w:t>
      </w:r>
      <w:r w:rsidRPr="00D36F81">
        <w:rPr>
          <w:rFonts w:hint="cs"/>
          <w:i/>
          <w:iCs/>
          <w:sz w:val="24"/>
          <w:szCs w:val="24"/>
          <w:rtl/>
        </w:rPr>
        <w:t>محمود</w:t>
      </w:r>
    </w:p>
    <w:p w:rsidR="00CA0EA2" w:rsidRPr="009264EA" w:rsidRDefault="00CA0EA2" w:rsidP="00CA0EA2">
      <w:pPr>
        <w:pStyle w:val="papersubtitle"/>
        <w:bidi/>
        <w:rPr>
          <w:i/>
          <w:iCs/>
          <w:sz w:val="22"/>
          <w:szCs w:val="22"/>
        </w:rPr>
      </w:pPr>
      <w:r w:rsidRPr="009264EA">
        <w:rPr>
          <w:i/>
          <w:iCs/>
          <w:sz w:val="22"/>
          <w:szCs w:val="22"/>
          <w:rtl/>
        </w:rPr>
        <w:t>قسم</w:t>
      </w:r>
      <w:r w:rsidRPr="009264EA">
        <w:rPr>
          <w:rFonts w:hint="cs"/>
          <w:i/>
          <w:iCs/>
          <w:sz w:val="22"/>
          <w:szCs w:val="22"/>
          <w:rtl/>
        </w:rPr>
        <w:t xml:space="preserve"> الفقه</w:t>
      </w:r>
      <w:r w:rsidRPr="009264EA">
        <w:rPr>
          <w:i/>
          <w:iCs/>
          <w:sz w:val="22"/>
          <w:szCs w:val="22"/>
          <w:rtl/>
        </w:rPr>
        <w:t xml:space="preserve"> </w:t>
      </w:r>
      <w:r w:rsidRPr="009264EA">
        <w:rPr>
          <w:rFonts w:hint="cs"/>
          <w:i/>
          <w:iCs/>
          <w:sz w:val="22"/>
          <w:szCs w:val="22"/>
          <w:rtl/>
        </w:rPr>
        <w:t xml:space="preserve">وأصوله </w:t>
      </w:r>
    </w:p>
    <w:p w:rsidR="00CA0EA2" w:rsidRPr="009264EA" w:rsidRDefault="00CA0EA2" w:rsidP="00CA0EA2">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CA0EA2" w:rsidRPr="009264EA" w:rsidRDefault="00CA0EA2" w:rsidP="00CA0EA2">
      <w:pPr>
        <w:pStyle w:val="papersubtitle"/>
        <w:bidi/>
        <w:rPr>
          <w:i/>
          <w:iCs/>
          <w:sz w:val="22"/>
          <w:szCs w:val="22"/>
          <w:rtl/>
        </w:rPr>
      </w:pPr>
      <w:r w:rsidRPr="009264EA">
        <w:rPr>
          <w:i/>
          <w:iCs/>
          <w:sz w:val="22"/>
          <w:szCs w:val="22"/>
          <w:rtl/>
        </w:rPr>
        <w:t>شاه علم – ماليزيا</w:t>
      </w:r>
    </w:p>
    <w:p w:rsidR="00CA0EA2" w:rsidRDefault="00CA0EA2" w:rsidP="00CA0EA2">
      <w:pPr>
        <w:spacing w:line="240" w:lineRule="auto"/>
        <w:jc w:val="center"/>
        <w:rPr>
          <w:rFonts w:asciiTheme="majorBidi" w:hAnsiTheme="majorBidi" w:cstheme="majorBidi"/>
          <w:b/>
          <w:bCs/>
          <w:sz w:val="20"/>
          <w:szCs w:val="20"/>
          <w:rtl/>
        </w:rPr>
        <w:sectPr w:rsidR="00CA0EA2" w:rsidSect="00BF7572">
          <w:pgSz w:w="11906" w:h="16838"/>
          <w:pgMar w:top="964" w:right="1021" w:bottom="964" w:left="1021" w:header="709" w:footer="709" w:gutter="0"/>
          <w:cols w:space="708"/>
          <w:bidi/>
          <w:rtlGutter/>
          <w:docGrid w:linePitch="360"/>
        </w:sectPr>
      </w:pPr>
      <w:r w:rsidRPr="00D36F81">
        <w:rPr>
          <w:rFonts w:asciiTheme="majorBidi" w:hAnsiTheme="majorBidi" w:cs="AL-Hotham"/>
          <w:i/>
          <w:iCs/>
        </w:rPr>
        <w:t>mirihan@mediu.ws</w:t>
      </w:r>
    </w:p>
    <w:p w:rsidR="00B77106" w:rsidRPr="00B77106" w:rsidRDefault="00B77106" w:rsidP="00B77106">
      <w:pPr>
        <w:spacing w:line="240" w:lineRule="auto"/>
        <w:jc w:val="center"/>
        <w:rPr>
          <w:rFonts w:asciiTheme="majorBidi" w:eastAsia="Calibri" w:hAnsiTheme="majorBidi" w:cstheme="majorBidi"/>
          <w:b/>
          <w:bCs/>
          <w:color w:val="4F81BD"/>
          <w:sz w:val="20"/>
          <w:szCs w:val="20"/>
          <w:rtl/>
        </w:rPr>
      </w:pPr>
      <w:r w:rsidRPr="00B77106">
        <w:rPr>
          <w:rFonts w:asciiTheme="majorBidi" w:hAnsiTheme="majorBidi" w:cstheme="majorBidi"/>
          <w:b/>
          <w:bCs/>
          <w:sz w:val="20"/>
          <w:szCs w:val="20"/>
          <w:rtl/>
        </w:rPr>
        <w:lastRenderedPageBreak/>
        <w:t xml:space="preserve">خلاصة ـــ هذا البحث يبحث في </w:t>
      </w:r>
      <w:r w:rsidRPr="00B77106">
        <w:rPr>
          <w:rFonts w:asciiTheme="majorBidi" w:eastAsia="Calibri" w:hAnsiTheme="majorBidi" w:cstheme="majorBidi"/>
          <w:b/>
          <w:bCs/>
          <w:sz w:val="20"/>
          <w:szCs w:val="20"/>
          <w:rtl/>
        </w:rPr>
        <w:t>أحكام مقاصد التشريع الخاصة بالمعاملات</w:t>
      </w:r>
    </w:p>
    <w:p w:rsidR="00B77106" w:rsidRPr="00B77106" w:rsidRDefault="00B77106" w:rsidP="00B77106">
      <w:pPr>
        <w:spacing w:after="120" w:line="240" w:lineRule="auto"/>
        <w:rPr>
          <w:rFonts w:asciiTheme="majorBidi" w:hAnsiTheme="majorBidi" w:cstheme="majorBidi"/>
          <w:b/>
          <w:bCs/>
          <w:sz w:val="20"/>
          <w:szCs w:val="20"/>
          <w:rtl/>
          <w:lang w:bidi="ar-EG"/>
        </w:rPr>
      </w:pPr>
      <w:r w:rsidRPr="00B77106">
        <w:rPr>
          <w:rFonts w:asciiTheme="majorBidi" w:hAnsiTheme="majorBidi" w:cstheme="majorBidi"/>
          <w:b/>
          <w:bCs/>
          <w:sz w:val="20"/>
          <w:szCs w:val="20"/>
          <w:rtl/>
        </w:rPr>
        <w:t xml:space="preserve">الكلمات المفتاحية : الإسلام ، الجانب ، الأسباب </w:t>
      </w:r>
    </w:p>
    <w:p w:rsidR="00B77106" w:rsidRPr="00B77106" w:rsidRDefault="00B77106" w:rsidP="00B77106">
      <w:pPr>
        <w:pStyle w:val="ListParagraph"/>
        <w:numPr>
          <w:ilvl w:val="0"/>
          <w:numId w:val="1"/>
        </w:numPr>
        <w:spacing w:after="120"/>
        <w:jc w:val="center"/>
        <w:rPr>
          <w:rFonts w:asciiTheme="majorBidi" w:hAnsiTheme="majorBidi" w:cstheme="majorBidi"/>
          <w:b/>
          <w:bCs/>
          <w:sz w:val="20"/>
          <w:szCs w:val="20"/>
          <w:rtl/>
        </w:rPr>
      </w:pPr>
      <w:r w:rsidRPr="00B77106">
        <w:rPr>
          <w:rFonts w:asciiTheme="majorBidi" w:hAnsiTheme="majorBidi" w:cstheme="majorBidi"/>
          <w:b/>
          <w:bCs/>
          <w:sz w:val="20"/>
          <w:szCs w:val="20"/>
          <w:rtl/>
        </w:rPr>
        <w:t>المقدمة</w:t>
      </w:r>
    </w:p>
    <w:p w:rsidR="00B77106" w:rsidRPr="00B77106" w:rsidRDefault="00B77106" w:rsidP="00B77106">
      <w:pPr>
        <w:pStyle w:val="NormalWeb"/>
        <w:bidi/>
        <w:spacing w:before="0" w:beforeAutospacing="0" w:after="120" w:afterAutospacing="0"/>
        <w:jc w:val="lowKashida"/>
        <w:rPr>
          <w:rFonts w:asciiTheme="majorBidi" w:hAnsiTheme="majorBidi" w:cstheme="majorBidi"/>
          <w:b/>
          <w:bCs/>
          <w:sz w:val="20"/>
          <w:szCs w:val="20"/>
          <w:rtl/>
        </w:rPr>
      </w:pPr>
      <w:r w:rsidRPr="00B77106">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B77106">
        <w:rPr>
          <w:rFonts w:asciiTheme="majorBidi" w:eastAsia="Calibri" w:hAnsiTheme="majorBidi" w:cstheme="majorBidi"/>
          <w:b/>
          <w:bCs/>
          <w:sz w:val="20"/>
          <w:szCs w:val="20"/>
          <w:rtl/>
        </w:rPr>
        <w:t>أحكام مقاصد التشريع الخاصة بالمعاملات</w:t>
      </w:r>
    </w:p>
    <w:p w:rsidR="00B77106" w:rsidRPr="00B77106" w:rsidRDefault="00B77106" w:rsidP="00B77106">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B77106">
        <w:rPr>
          <w:rFonts w:asciiTheme="majorBidi" w:hAnsiTheme="majorBidi" w:cstheme="majorBidi"/>
          <w:b/>
          <w:bCs/>
          <w:sz w:val="20"/>
          <w:szCs w:val="20"/>
          <w:rtl/>
        </w:rPr>
        <w:t>عنوان المقال</w:t>
      </w:r>
    </w:p>
    <w:p w:rsidR="00B77106" w:rsidRPr="00B77106" w:rsidRDefault="00B77106" w:rsidP="00B77106">
      <w:pPr>
        <w:pStyle w:val="NormalWeb"/>
        <w:bidi/>
        <w:jc w:val="lowKashida"/>
        <w:rPr>
          <w:rFonts w:asciiTheme="majorBidi" w:hAnsiTheme="majorBidi" w:cstheme="majorBidi"/>
          <w:b/>
          <w:bCs/>
          <w:color w:val="000080"/>
          <w:sz w:val="20"/>
          <w:szCs w:val="20"/>
        </w:rPr>
      </w:pPr>
      <w:r w:rsidRPr="00B77106">
        <w:rPr>
          <w:rFonts w:asciiTheme="majorBidi" w:hAnsiTheme="majorBidi" w:cstheme="majorBidi"/>
          <w:b/>
          <w:bCs/>
          <w:color w:val="000080"/>
          <w:sz w:val="20"/>
          <w:szCs w:val="20"/>
          <w:rtl/>
        </w:rPr>
        <w:t>حفظ الحرية من جانب الوجود:</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إن أبرز صورةٍ تظهر حرص الإسلام على إقامة الحرية في هذا الجانب، وتشوُّف الشارع إلى تحقيقها</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هي تصديه لمشكلة الرق بالرفع له ومعالجته، وكان ذلك بمنهجين:</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color w:val="000080"/>
          <w:sz w:val="20"/>
          <w:szCs w:val="20"/>
          <w:rtl/>
        </w:rPr>
        <w:t>المنهج الأول:</w:t>
      </w:r>
      <w:r w:rsidRPr="00B77106">
        <w:rPr>
          <w:rFonts w:asciiTheme="majorBidi" w:hAnsiTheme="majorBidi" w:cstheme="majorBidi"/>
          <w:b/>
          <w:bCs/>
          <w:sz w:val="20"/>
          <w:szCs w:val="20"/>
          <w:rtl/>
        </w:rPr>
        <w:t xml:space="preserve"> برفع الأسباب المؤدية إليه، وهنا سنتعرض له في حفظ الحرية من جانب</w:t>
      </w:r>
      <w:r w:rsidRPr="00B77106">
        <w:rPr>
          <w:rFonts w:asciiTheme="majorBidi" w:hAnsiTheme="majorBidi" w:cstheme="majorBidi"/>
          <w:b/>
          <w:bCs/>
          <w:sz w:val="20"/>
          <w:szCs w:val="20"/>
          <w:rtl/>
          <w:lang w:bidi="ar-EG"/>
        </w:rPr>
        <w:t xml:space="preserve"> </w:t>
      </w:r>
      <w:r w:rsidRPr="00B77106">
        <w:rPr>
          <w:rFonts w:asciiTheme="majorBidi" w:hAnsiTheme="majorBidi" w:cstheme="majorBidi"/>
          <w:b/>
          <w:bCs/>
          <w:sz w:val="20"/>
          <w:szCs w:val="20"/>
          <w:rtl/>
        </w:rPr>
        <w:t>العدم.</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color w:val="000080"/>
          <w:sz w:val="20"/>
          <w:szCs w:val="20"/>
          <w:rtl/>
        </w:rPr>
        <w:t>المنهج الثاني:</w:t>
      </w:r>
      <w:r w:rsidRPr="00B77106">
        <w:rPr>
          <w:rFonts w:asciiTheme="majorBidi" w:hAnsiTheme="majorBidi" w:cstheme="majorBidi"/>
          <w:b/>
          <w:bCs/>
          <w:sz w:val="20"/>
          <w:szCs w:val="20"/>
          <w:rtl/>
        </w:rPr>
        <w:t xml:space="preserve"> بمعالجة ما هو واقع منه، وذلك بأمرين: الإكثار من أسباب رفع الرق، وذلك من خلال جملة الأحكام التي شرعت لهذا الغرض.</w:t>
      </w:r>
    </w:p>
    <w:p w:rsidR="00B77106" w:rsidRPr="00B77106" w:rsidRDefault="00B77106" w:rsidP="00B77106">
      <w:pPr>
        <w:pStyle w:val="NormalWeb"/>
        <w:bidi/>
        <w:spacing w:after="120"/>
        <w:jc w:val="lowKashida"/>
        <w:rPr>
          <w:rFonts w:asciiTheme="majorBidi" w:hAnsiTheme="majorBidi" w:cstheme="majorBidi"/>
          <w:b/>
          <w:bCs/>
          <w:sz w:val="20"/>
          <w:szCs w:val="20"/>
          <w:rtl/>
        </w:rPr>
      </w:pPr>
      <w:r w:rsidRPr="00B77106">
        <w:rPr>
          <w:rFonts w:asciiTheme="majorBidi" w:hAnsiTheme="majorBidi" w:cstheme="majorBidi"/>
          <w:b/>
          <w:bCs/>
          <w:sz w:val="20"/>
          <w:szCs w:val="20"/>
          <w:rtl/>
        </w:rPr>
        <w:t>وتتمثل في الصور التالية:</w:t>
      </w:r>
    </w:p>
    <w:p w:rsidR="00B77106" w:rsidRPr="00B77106" w:rsidRDefault="00B77106" w:rsidP="00B77106">
      <w:pPr>
        <w:pStyle w:val="NormalWeb"/>
        <w:bidi/>
        <w:spacing w:after="120"/>
        <w:rPr>
          <w:rFonts w:asciiTheme="majorBidi" w:hAnsiTheme="majorBidi" w:cstheme="majorBidi"/>
          <w:b/>
          <w:bCs/>
          <w:sz w:val="20"/>
          <w:szCs w:val="20"/>
        </w:rPr>
      </w:pPr>
      <w:r w:rsidRPr="00B77106">
        <w:rPr>
          <w:rFonts w:asciiTheme="majorBidi" w:hAnsiTheme="majorBidi" w:cstheme="majorBidi"/>
          <w:b/>
          <w:bCs/>
          <w:color w:val="000080"/>
          <w:sz w:val="20"/>
          <w:szCs w:val="20"/>
          <w:rtl/>
        </w:rPr>
        <w:t>أولًا:</w:t>
      </w:r>
      <w:r w:rsidRPr="00B77106">
        <w:rPr>
          <w:rFonts w:asciiTheme="majorBidi" w:hAnsiTheme="majorBidi" w:cstheme="majorBidi"/>
          <w:b/>
          <w:bCs/>
          <w:sz w:val="20"/>
          <w:szCs w:val="20"/>
          <w:rtl/>
        </w:rPr>
        <w:t xml:space="preserve"> فك الرقبة الوارد في الكفارة الواردة في القتل الخطأ</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قال تعالى: </w:t>
      </w:r>
      <w:r w:rsidRPr="00B77106">
        <w:rPr>
          <w:rFonts w:cs="DecoType Thuluth" w:hint="cs"/>
          <w:color w:val="008000"/>
          <w:sz w:val="20"/>
          <w:szCs w:val="20"/>
          <w:rtl/>
        </w:rPr>
        <w:t>{</w:t>
      </w:r>
      <w:r w:rsidRPr="00B77106">
        <w:rPr>
          <w:rFonts w:ascii="QCF_P093" w:hAnsi="QCF_P093" w:cs="QCF_P093"/>
          <w:color w:val="008000"/>
          <w:sz w:val="20"/>
          <w:szCs w:val="20"/>
          <w:rtl/>
        </w:rPr>
        <w:t>ﭑ ﭒ ﭓ ﭔ ﭕ ﭖ ﭗ ﭘ ﭙ ﭚ ﭛ ﭜ ﭝ ﭞ ﭟ ﭠ ﭡ ﭢ ﭣ ﭤ</w:t>
      </w:r>
      <w:r w:rsidRPr="00B77106">
        <w:rPr>
          <w:rFonts w:ascii="QCF_P093" w:hAnsi="QCF_P093" w:cs="DecoType Thuluth"/>
          <w:color w:val="008000"/>
          <w:sz w:val="20"/>
          <w:szCs w:val="20"/>
          <w:rtl/>
        </w:rPr>
        <w:t>}</w:t>
      </w:r>
      <w:r w:rsidRPr="00B77106">
        <w:rPr>
          <w:rFonts w:cs="AL-Hotham" w:hint="cs"/>
          <w:sz w:val="20"/>
          <w:szCs w:val="20"/>
          <w:rtl/>
        </w:rPr>
        <w:t xml:space="preserve"> </w:t>
      </w:r>
      <w:r w:rsidRPr="00B77106">
        <w:rPr>
          <w:rFonts w:asciiTheme="majorBidi" w:hAnsiTheme="majorBidi" w:cstheme="majorBidi"/>
          <w:b/>
          <w:bCs/>
          <w:sz w:val="20"/>
          <w:szCs w:val="20"/>
          <w:rtl/>
        </w:rPr>
        <w:t>[النساء: 92].</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color w:val="000080"/>
          <w:sz w:val="20"/>
          <w:szCs w:val="20"/>
          <w:rtl/>
        </w:rPr>
        <w:t>ثانيًا:</w:t>
      </w:r>
      <w:r w:rsidRPr="00B77106">
        <w:rPr>
          <w:rFonts w:asciiTheme="majorBidi" w:hAnsiTheme="majorBidi" w:cstheme="majorBidi"/>
          <w:b/>
          <w:bCs/>
          <w:sz w:val="20"/>
          <w:szCs w:val="20"/>
          <w:rtl/>
        </w:rPr>
        <w:t xml:space="preserve"> تحرير الرقاب الوارد في كفارة الظهار</w:t>
      </w:r>
      <w:r w:rsidRPr="00B77106">
        <w:rPr>
          <w:rFonts w:asciiTheme="majorBidi" w:hAnsiTheme="majorBidi" w:cstheme="majorBidi"/>
          <w:b/>
          <w:bCs/>
          <w:sz w:val="20"/>
          <w:szCs w:val="20"/>
          <w:rtl/>
          <w:lang w:bidi="ar-EG"/>
        </w:rPr>
        <w:t xml:space="preserve">، </w:t>
      </w:r>
      <w:r w:rsidRPr="00B77106">
        <w:rPr>
          <w:rFonts w:asciiTheme="majorBidi" w:hAnsiTheme="majorBidi" w:cstheme="majorBidi"/>
          <w:b/>
          <w:bCs/>
          <w:sz w:val="20"/>
          <w:szCs w:val="20"/>
          <w:rtl/>
        </w:rPr>
        <w:t xml:space="preserve">قال تعالى: </w:t>
      </w:r>
      <w:r w:rsidRPr="00B77106">
        <w:rPr>
          <w:rFonts w:cs="DecoType Thuluth" w:hint="cs"/>
          <w:color w:val="008000"/>
          <w:sz w:val="20"/>
          <w:szCs w:val="20"/>
          <w:rtl/>
        </w:rPr>
        <w:t>{</w:t>
      </w:r>
      <w:r w:rsidRPr="00B77106">
        <w:rPr>
          <w:rFonts w:ascii="QCF_P542" w:hAnsi="QCF_P542" w:cs="QCF_P542"/>
          <w:color w:val="008000"/>
          <w:sz w:val="20"/>
          <w:szCs w:val="20"/>
          <w:rtl/>
        </w:rPr>
        <w:t>ﮀ ﮁ ﮂ ﮃ ﮄ ﮅ ﮆ ﮇ ﮈ ﮉ ﮊ ﮋ ﮌ ﮍ</w:t>
      </w:r>
      <w:r w:rsidRPr="00B77106">
        <w:rPr>
          <w:rFonts w:ascii="QCF_P542" w:hAnsi="QCF_P542" w:cs="DecoType Thuluth"/>
          <w:color w:val="008000"/>
          <w:sz w:val="20"/>
          <w:szCs w:val="20"/>
          <w:rtl/>
        </w:rPr>
        <w:t>}</w:t>
      </w:r>
      <w:r w:rsidRPr="00B77106">
        <w:rPr>
          <w:rFonts w:cs="AL-Hotham" w:hint="cs"/>
          <w:sz w:val="20"/>
          <w:szCs w:val="20"/>
          <w:rtl/>
        </w:rPr>
        <w:t xml:space="preserve"> </w:t>
      </w:r>
      <w:r w:rsidRPr="00B77106">
        <w:rPr>
          <w:rFonts w:asciiTheme="majorBidi" w:hAnsiTheme="majorBidi" w:cstheme="majorBidi"/>
          <w:b/>
          <w:bCs/>
          <w:sz w:val="20"/>
          <w:szCs w:val="20"/>
          <w:rtl/>
        </w:rPr>
        <w:t>[المجادلة: 3].</w:t>
      </w:r>
    </w:p>
    <w:p w:rsidR="00B77106" w:rsidRPr="00B77106" w:rsidRDefault="00B77106" w:rsidP="00B77106">
      <w:pPr>
        <w:pStyle w:val="NormalWeb"/>
        <w:bidi/>
        <w:spacing w:after="120"/>
        <w:rPr>
          <w:rFonts w:asciiTheme="majorBidi" w:hAnsiTheme="majorBidi" w:cstheme="majorBidi"/>
          <w:b/>
          <w:bCs/>
          <w:sz w:val="20"/>
          <w:szCs w:val="20"/>
        </w:rPr>
      </w:pPr>
      <w:r w:rsidRPr="00B77106">
        <w:rPr>
          <w:rFonts w:asciiTheme="majorBidi" w:hAnsiTheme="majorBidi" w:cstheme="majorBidi"/>
          <w:b/>
          <w:bCs/>
          <w:color w:val="000080"/>
          <w:sz w:val="20"/>
          <w:szCs w:val="20"/>
          <w:rtl/>
        </w:rPr>
        <w:t>ثالثًا:</w:t>
      </w:r>
      <w:r w:rsidRPr="00B77106">
        <w:rPr>
          <w:rFonts w:asciiTheme="majorBidi" w:hAnsiTheme="majorBidi" w:cstheme="majorBidi"/>
          <w:b/>
          <w:bCs/>
          <w:sz w:val="20"/>
          <w:szCs w:val="20"/>
          <w:rtl/>
        </w:rPr>
        <w:t xml:space="preserve"> تحرير الرقبة في كفارة اليمين الحانثة</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قال تعالى: </w:t>
      </w:r>
      <w:r w:rsidRPr="00B77106">
        <w:rPr>
          <w:rFonts w:cs="DecoType Thuluth" w:hint="cs"/>
          <w:color w:val="008000"/>
          <w:sz w:val="20"/>
          <w:szCs w:val="20"/>
          <w:rtl/>
        </w:rPr>
        <w:t>{</w:t>
      </w:r>
      <w:r w:rsidRPr="00B77106">
        <w:rPr>
          <w:rFonts w:ascii="QCF_P122" w:hAnsi="QCF_P122" w:cs="QCF_P122"/>
          <w:color w:val="008000"/>
          <w:sz w:val="20"/>
          <w:szCs w:val="20"/>
          <w:rtl/>
        </w:rPr>
        <w:t>ﯓ ﯔ ﯕ ﯖ ﯗ ﯘ ﯙ ﯚ ﯛ ﯜ ﯝ ﯞ ﯟ ﯠ ﯡ ﯢ ﯣ ﯤ ﯥ ﯦ ﯧ ﯨ ﯩ ﯪ ﯫ ﯬ</w:t>
      </w:r>
      <w:r w:rsidRPr="00B77106">
        <w:rPr>
          <w:rFonts w:ascii="QCF_P122" w:hAnsi="QCF_P122" w:cs="DecoType Thuluth"/>
          <w:color w:val="008000"/>
          <w:sz w:val="20"/>
          <w:szCs w:val="20"/>
          <w:rtl/>
        </w:rPr>
        <w:t>}</w:t>
      </w:r>
      <w:r w:rsidRPr="00B77106">
        <w:rPr>
          <w:rFonts w:cs="AL-Hotham" w:hint="cs"/>
          <w:sz w:val="20"/>
          <w:szCs w:val="20"/>
          <w:rtl/>
        </w:rPr>
        <w:t xml:space="preserve"> </w:t>
      </w:r>
      <w:r w:rsidRPr="00B77106">
        <w:rPr>
          <w:rFonts w:asciiTheme="majorBidi" w:hAnsiTheme="majorBidi" w:cstheme="majorBidi"/>
          <w:b/>
          <w:bCs/>
          <w:sz w:val="20"/>
          <w:szCs w:val="20"/>
          <w:rtl/>
        </w:rPr>
        <w:t>[المائدة: 89].</w:t>
      </w:r>
    </w:p>
    <w:p w:rsidR="00B77106" w:rsidRPr="00B77106" w:rsidRDefault="00B77106" w:rsidP="00B77106">
      <w:pPr>
        <w:pStyle w:val="NormalWeb"/>
        <w:bidi/>
        <w:spacing w:after="120"/>
        <w:rPr>
          <w:rFonts w:asciiTheme="majorBidi" w:hAnsiTheme="majorBidi" w:cstheme="majorBidi"/>
          <w:b/>
          <w:bCs/>
          <w:sz w:val="20"/>
          <w:szCs w:val="20"/>
        </w:rPr>
      </w:pPr>
      <w:r w:rsidRPr="00B77106">
        <w:rPr>
          <w:rFonts w:asciiTheme="majorBidi" w:hAnsiTheme="majorBidi" w:cstheme="majorBidi"/>
          <w:b/>
          <w:bCs/>
          <w:color w:val="000080"/>
          <w:sz w:val="20"/>
          <w:szCs w:val="20"/>
          <w:rtl/>
        </w:rPr>
        <w:lastRenderedPageBreak/>
        <w:t>رابعًا:</w:t>
      </w:r>
      <w:r w:rsidRPr="00B77106">
        <w:rPr>
          <w:rFonts w:asciiTheme="majorBidi" w:hAnsiTheme="majorBidi" w:cstheme="majorBidi"/>
          <w:b/>
          <w:bCs/>
          <w:sz w:val="20"/>
          <w:szCs w:val="20"/>
          <w:rtl/>
        </w:rPr>
        <w:t xml:space="preserve"> جعله </w:t>
      </w:r>
      <w:r w:rsidRPr="00B77106">
        <w:rPr>
          <w:rFonts w:asciiTheme="majorBidi" w:hAnsiTheme="majorBidi" w:cstheme="majorBidi"/>
          <w:b/>
          <w:bCs/>
          <w:position w:val="-2"/>
          <w:sz w:val="20"/>
          <w:szCs w:val="20"/>
        </w:rPr>
        <w:t></w:t>
      </w:r>
      <w:r w:rsidRPr="00B77106">
        <w:rPr>
          <w:rFonts w:asciiTheme="majorBidi" w:hAnsiTheme="majorBidi" w:cstheme="majorBidi"/>
          <w:b/>
          <w:bCs/>
          <w:sz w:val="20"/>
          <w:szCs w:val="20"/>
          <w:rtl/>
        </w:rPr>
        <w:t xml:space="preserve"> تحرير الرقاب من المصالح التي تؤدى فيها الزكاة</w:t>
      </w:r>
      <w:r w:rsidRPr="00B77106">
        <w:rPr>
          <w:rFonts w:asciiTheme="majorBidi" w:hAnsiTheme="majorBidi" w:cstheme="majorBidi"/>
          <w:b/>
          <w:bCs/>
          <w:sz w:val="20"/>
          <w:szCs w:val="20"/>
          <w:rtl/>
          <w:lang w:bidi="ar-EG"/>
        </w:rPr>
        <w:t xml:space="preserve">، </w:t>
      </w:r>
      <w:r w:rsidRPr="00B77106">
        <w:rPr>
          <w:rFonts w:asciiTheme="majorBidi" w:hAnsiTheme="majorBidi" w:cstheme="majorBidi"/>
          <w:b/>
          <w:bCs/>
          <w:sz w:val="20"/>
          <w:szCs w:val="20"/>
          <w:rtl/>
        </w:rPr>
        <w:t xml:space="preserve"> قال تعالى: </w:t>
      </w:r>
      <w:r w:rsidRPr="00B77106">
        <w:rPr>
          <w:rFonts w:cs="DecoType Thuluth" w:hint="cs"/>
          <w:color w:val="008000"/>
          <w:sz w:val="20"/>
          <w:szCs w:val="20"/>
          <w:rtl/>
        </w:rPr>
        <w:t>{</w:t>
      </w:r>
      <w:r w:rsidRPr="00B77106">
        <w:rPr>
          <w:rFonts w:ascii="QCF_P196" w:hAnsi="QCF_P196" w:cs="QCF_P196"/>
          <w:color w:val="008000"/>
          <w:sz w:val="20"/>
          <w:szCs w:val="20"/>
          <w:rtl/>
        </w:rPr>
        <w:t>ﮡ ﮢ ﮣ ﮤ ﮥ ﮦ ﮧ ﮨ ﮩ ﮪ</w:t>
      </w:r>
      <w:r w:rsidRPr="00B77106">
        <w:rPr>
          <w:rFonts w:ascii="QCF_P196" w:hAnsi="QCF_P196" w:cs="DecoType Thuluth"/>
          <w:color w:val="008000"/>
          <w:sz w:val="20"/>
          <w:szCs w:val="20"/>
          <w:rtl/>
        </w:rPr>
        <w:t>}</w:t>
      </w:r>
      <w:r w:rsidRPr="00B77106">
        <w:rPr>
          <w:rFonts w:cs="AL-Hotham" w:hint="cs"/>
          <w:sz w:val="20"/>
          <w:szCs w:val="20"/>
          <w:rtl/>
        </w:rPr>
        <w:t xml:space="preserve"> </w:t>
      </w:r>
      <w:r w:rsidRPr="00B77106">
        <w:rPr>
          <w:rFonts w:asciiTheme="majorBidi" w:hAnsiTheme="majorBidi" w:cstheme="majorBidi"/>
          <w:b/>
          <w:bCs/>
          <w:sz w:val="20"/>
          <w:szCs w:val="20"/>
          <w:rtl/>
        </w:rPr>
        <w:t>[التوبة: 60].</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color w:val="000080"/>
          <w:sz w:val="20"/>
          <w:szCs w:val="20"/>
          <w:rtl/>
        </w:rPr>
        <w:t>خامسًا:</w:t>
      </w:r>
      <w:r w:rsidRPr="00B77106">
        <w:rPr>
          <w:rFonts w:asciiTheme="majorBidi" w:hAnsiTheme="majorBidi" w:cstheme="majorBidi"/>
          <w:b/>
          <w:bCs/>
          <w:sz w:val="20"/>
          <w:szCs w:val="20"/>
          <w:rtl/>
        </w:rPr>
        <w:t xml:space="preserve"> الترغيب في تحرير العبيد، وجعلها من أفضل أعمال البر، قال</w:t>
      </w:r>
      <w:r w:rsidRPr="00B77106">
        <w:rPr>
          <w:rFonts w:asciiTheme="majorBidi" w:hAnsiTheme="majorBidi" w:cstheme="majorBidi"/>
          <w:b/>
          <w:bCs/>
          <w:sz w:val="20"/>
          <w:szCs w:val="20"/>
        </w:rPr>
        <w:sym w:font="AGA Arabesque" w:char="F055"/>
      </w:r>
      <w:r w:rsidRPr="00B77106">
        <w:rPr>
          <w:rFonts w:asciiTheme="majorBidi" w:hAnsiTheme="majorBidi" w:cstheme="majorBidi"/>
          <w:b/>
          <w:bCs/>
          <w:sz w:val="20"/>
          <w:szCs w:val="20"/>
          <w:rtl/>
        </w:rPr>
        <w:t xml:space="preserve">: </w:t>
      </w:r>
      <w:r w:rsidRPr="00B77106">
        <w:rPr>
          <w:rFonts w:cs="DecoType Thuluth" w:hint="cs"/>
          <w:color w:val="008000"/>
          <w:sz w:val="20"/>
          <w:szCs w:val="20"/>
          <w:rtl/>
        </w:rPr>
        <w:t>{</w:t>
      </w:r>
      <w:r w:rsidRPr="00B77106">
        <w:rPr>
          <w:rFonts w:ascii="QCF_P594" w:hAnsi="QCF_P594" w:cs="QCF_P594"/>
          <w:color w:val="008000"/>
          <w:sz w:val="20"/>
          <w:szCs w:val="20"/>
          <w:rtl/>
        </w:rPr>
        <w:t>ﮣ ﮤ ﮥ ﮦ</w:t>
      </w:r>
      <w:r w:rsidRPr="00B77106">
        <w:rPr>
          <w:rFonts w:ascii="QCF_BSML" w:hAnsi="QCF_BSML" w:cs="QCF_BSML" w:hint="cs"/>
          <w:color w:val="008000"/>
          <w:sz w:val="20"/>
          <w:szCs w:val="20"/>
          <w:rtl/>
        </w:rPr>
        <w:t xml:space="preserve"> </w:t>
      </w:r>
      <w:r w:rsidRPr="00B77106">
        <w:rPr>
          <w:rFonts w:ascii="QCF_P594" w:hAnsi="QCF_P594" w:cs="QCF_P594"/>
          <w:color w:val="008000"/>
          <w:sz w:val="20"/>
          <w:szCs w:val="20"/>
          <w:rtl/>
        </w:rPr>
        <w:t>ﮧ ﮨ ﮩ ﮪ ﮫ</w:t>
      </w:r>
      <w:r w:rsidRPr="00B77106">
        <w:rPr>
          <w:rFonts w:ascii="QCF_P594" w:hAnsi="QCF_P594" w:cs="QCF_P594" w:hint="cs"/>
          <w:color w:val="008000"/>
          <w:sz w:val="20"/>
          <w:szCs w:val="20"/>
          <w:rtl/>
        </w:rPr>
        <w:t xml:space="preserve"> </w:t>
      </w:r>
      <w:r w:rsidRPr="00B77106">
        <w:rPr>
          <w:rFonts w:ascii="QCF_P594" w:hAnsi="QCF_P594" w:cs="QCF_P594"/>
          <w:color w:val="008000"/>
          <w:sz w:val="20"/>
          <w:szCs w:val="20"/>
          <w:rtl/>
        </w:rPr>
        <w:t>ﮬ ﮭ</w:t>
      </w:r>
      <w:r w:rsidRPr="00B77106">
        <w:rPr>
          <w:rFonts w:ascii="QCF_P594" w:hAnsi="QCF_P594" w:cs="DecoType Thuluth"/>
          <w:color w:val="008000"/>
          <w:sz w:val="20"/>
          <w:szCs w:val="20"/>
          <w:rtl/>
        </w:rPr>
        <w:t>}</w:t>
      </w:r>
      <w:r w:rsidRPr="00B77106">
        <w:rPr>
          <w:rFonts w:cs="AL-Hotham" w:hint="cs"/>
          <w:sz w:val="20"/>
          <w:szCs w:val="20"/>
          <w:rtl/>
        </w:rPr>
        <w:t xml:space="preserve"> </w:t>
      </w:r>
      <w:r w:rsidRPr="00B77106">
        <w:rPr>
          <w:rFonts w:asciiTheme="majorBidi" w:hAnsiTheme="majorBidi" w:cstheme="majorBidi"/>
          <w:b/>
          <w:bCs/>
          <w:sz w:val="20"/>
          <w:szCs w:val="20"/>
          <w:rtl/>
        </w:rPr>
        <w:t>[البلد: 11- 13].</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lang w:bidi="ar-EG"/>
        </w:rPr>
        <w:t>و</w:t>
      </w:r>
      <w:r w:rsidRPr="00B77106">
        <w:rPr>
          <w:rFonts w:asciiTheme="majorBidi" w:hAnsiTheme="majorBidi" w:cstheme="majorBidi"/>
          <w:b/>
          <w:bCs/>
          <w:sz w:val="20"/>
          <w:szCs w:val="20"/>
          <w:rtl/>
        </w:rPr>
        <w:t>أمرت الشريعة الموالي بكفاية مؤنة مملوكهم وكسوته -كما سبق- أن بينا ذلك، ومن آكد الحريات التي حرص عليها الإسلام بعد حرية الذوات، والأبدان حرية الآراء والأقوال؛ لذلك تجد الشرع الكريم قد حكم قاعدة عظيمة</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هي قاعدة الأمر بالمعروف والنهي عن المنكر، فقال تعالى: </w:t>
      </w:r>
      <w:r w:rsidRPr="00B77106">
        <w:rPr>
          <w:rFonts w:cs="DecoType Thuluth" w:hint="cs"/>
          <w:color w:val="008000"/>
          <w:sz w:val="20"/>
          <w:szCs w:val="20"/>
          <w:rtl/>
        </w:rPr>
        <w:t>{</w:t>
      </w:r>
      <w:r w:rsidRPr="00B77106">
        <w:rPr>
          <w:rFonts w:ascii="QCF_P063" w:hAnsi="QCF_P063" w:cs="QCF_P063"/>
          <w:color w:val="008000"/>
          <w:sz w:val="20"/>
          <w:szCs w:val="20"/>
          <w:rtl/>
        </w:rPr>
        <w:t>ﮖ ﮗ ﮘ ﮙ ﮚ ﮛ ﮜ ﮝ ﮞ ﮟ ﮠ ﮡ ﮢ ﮣ ﮤ</w:t>
      </w:r>
      <w:r w:rsidRPr="00B77106">
        <w:rPr>
          <w:rFonts w:ascii="QCF_P063" w:hAnsi="QCF_P063" w:cs="DecoType Thuluth"/>
          <w:color w:val="008000"/>
          <w:sz w:val="20"/>
          <w:szCs w:val="20"/>
          <w:rtl/>
        </w:rPr>
        <w:t>}</w:t>
      </w:r>
      <w:r w:rsidRPr="00B77106">
        <w:rPr>
          <w:rFonts w:cs="AL-Hotham" w:hint="cs"/>
          <w:sz w:val="20"/>
          <w:szCs w:val="20"/>
          <w:rtl/>
        </w:rPr>
        <w:t xml:space="preserve"> </w:t>
      </w:r>
      <w:r w:rsidRPr="00B77106">
        <w:rPr>
          <w:rFonts w:asciiTheme="majorBidi" w:hAnsiTheme="majorBidi" w:cstheme="majorBidi"/>
          <w:b/>
          <w:bCs/>
          <w:sz w:val="20"/>
          <w:szCs w:val="20"/>
          <w:rtl/>
        </w:rPr>
        <w:t xml:space="preserve">[آل عمران: 104] وقال </w:t>
      </w:r>
      <w:r w:rsidRPr="00B77106">
        <w:rPr>
          <w:rFonts w:asciiTheme="majorBidi" w:hAnsiTheme="majorBidi" w:cstheme="majorBidi"/>
          <w:b/>
          <w:bCs/>
          <w:spacing w:val="2"/>
          <w:position w:val="-4"/>
          <w:sz w:val="20"/>
          <w:szCs w:val="20"/>
        </w:rPr>
        <w:t></w:t>
      </w:r>
      <w:r w:rsidRPr="00B77106">
        <w:rPr>
          <w:rFonts w:asciiTheme="majorBidi" w:hAnsiTheme="majorBidi" w:cstheme="majorBidi"/>
          <w:b/>
          <w:bCs/>
          <w:sz w:val="20"/>
          <w:szCs w:val="20"/>
          <w:rtl/>
        </w:rPr>
        <w:t xml:space="preserve">: </w:t>
      </w:r>
      <w:r w:rsidRPr="00B77106">
        <w:rPr>
          <w:rFonts w:asciiTheme="majorBidi" w:hAnsiTheme="majorBidi" w:cstheme="majorBidi"/>
          <w:b/>
          <w:bCs/>
          <w:color w:val="0000FF"/>
          <w:sz w:val="20"/>
          <w:szCs w:val="20"/>
          <w:rtl/>
        </w:rPr>
        <w:t>((من رأى منكم منكر فليغيره بيده؛ فإن لم يستطع فبلسانه فإن لم يستطع فبقلبه وذلك أضعف الإيمان))</w:t>
      </w:r>
      <w:r w:rsidRPr="00B77106">
        <w:rPr>
          <w:rFonts w:asciiTheme="majorBidi" w:hAnsiTheme="majorBidi" w:cstheme="majorBidi"/>
          <w:b/>
          <w:bCs/>
          <w:sz w:val="20"/>
          <w:szCs w:val="20"/>
          <w:rtl/>
        </w:rPr>
        <w:t>.</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من الواضح جدًّا أن تحقيق هذه القاعدة لا يتم إلا بتحرير الأقوال والآراء من أي ضغطٍ خارجي، مهما كان مصدره، ومهما كانت الظروف الداعية؛ إلى ذلك؛ لأنه بدون هذا العمل سوف تنقلب الحقائق،وقد يصبح المنكر معروفًا، و المعروف منكرًا، وبناءً على ما سبق كانت حرية الرأي في الإسلام حقًا للفرد بالغ الأهمية والخطورة؛ فلا يجوز أن ينتقص منه.</w:t>
      </w:r>
    </w:p>
    <w:p w:rsidR="00B77106" w:rsidRPr="00B77106" w:rsidRDefault="00B77106" w:rsidP="00B77106">
      <w:pPr>
        <w:pStyle w:val="NormalWeb"/>
        <w:bidi/>
        <w:jc w:val="lowKashida"/>
        <w:rPr>
          <w:rFonts w:asciiTheme="majorBidi" w:hAnsiTheme="majorBidi" w:cstheme="majorBidi"/>
          <w:b/>
          <w:bCs/>
          <w:color w:val="000080"/>
          <w:sz w:val="20"/>
          <w:szCs w:val="20"/>
        </w:rPr>
      </w:pPr>
      <w:r w:rsidRPr="00B77106">
        <w:rPr>
          <w:rFonts w:asciiTheme="majorBidi" w:hAnsiTheme="majorBidi" w:cstheme="majorBidi"/>
          <w:b/>
          <w:bCs/>
          <w:color w:val="000080"/>
          <w:sz w:val="20"/>
          <w:szCs w:val="20"/>
          <w:rtl/>
        </w:rPr>
        <w:t>حفظ الحرية من جانب العدم:</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إقامةً لهذا الجانب منع الإسلام تجدد العبودية، وذلك بقطع السبل المؤدية إليها، ورفع أسبابها.</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وبناءً عليه أبطلت الشريعة الإسلامية أسبابًا عديدة من أسباب الاسترقاق، ولم يقتصر الإسلام في حفظ الحرية على هذا الجانب على الناحية المادية للإنسان؛ بل امتد عمله إلى عمقه الروحي بأن جعل الحرية أصلًا في اعتقاده؛ حيث منع إكراه الكفار على الإسلام</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فقال تعالى: </w:t>
      </w:r>
      <w:r w:rsidRPr="00B77106">
        <w:rPr>
          <w:rFonts w:cs="DecoType Thuluth" w:hint="cs"/>
          <w:color w:val="008000"/>
          <w:sz w:val="20"/>
          <w:szCs w:val="20"/>
          <w:rtl/>
        </w:rPr>
        <w:t>{</w:t>
      </w:r>
      <w:r w:rsidRPr="00B77106">
        <w:rPr>
          <w:rFonts w:ascii="QCF_P042" w:hAnsi="QCF_P042" w:cs="QCF_P042"/>
          <w:color w:val="008000"/>
          <w:sz w:val="20"/>
          <w:szCs w:val="20"/>
          <w:rtl/>
        </w:rPr>
        <w:t>ﯿ ﰀ ﰁ ﰂ ﰃ ﰄ ﰅ ﰆ ﰇ ﰈ</w:t>
      </w:r>
      <w:r w:rsidRPr="00B77106">
        <w:rPr>
          <w:rFonts w:ascii="QCF_P042" w:hAnsi="QCF_P042" w:cs="DecoType Thuluth"/>
          <w:color w:val="008000"/>
          <w:sz w:val="20"/>
          <w:szCs w:val="20"/>
          <w:rtl/>
        </w:rPr>
        <w:t>}</w:t>
      </w:r>
      <w:r w:rsidRPr="00B77106">
        <w:rPr>
          <w:rFonts w:cs="AL-Hotham" w:hint="cs"/>
          <w:sz w:val="20"/>
          <w:szCs w:val="20"/>
          <w:rtl/>
        </w:rPr>
        <w:t xml:space="preserve"> </w:t>
      </w:r>
      <w:r w:rsidRPr="00B77106">
        <w:rPr>
          <w:rFonts w:asciiTheme="majorBidi" w:hAnsiTheme="majorBidi" w:cstheme="majorBidi"/>
          <w:b/>
          <w:bCs/>
          <w:sz w:val="20"/>
          <w:szCs w:val="20"/>
          <w:rtl/>
        </w:rPr>
        <w:t>[البقرة: 256]</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وقال تعالى:</w:t>
      </w:r>
      <w:r w:rsidRPr="00B77106">
        <w:rPr>
          <w:rFonts w:cs="DecoType Thuluth" w:hint="cs"/>
          <w:color w:val="008000"/>
          <w:sz w:val="20"/>
          <w:szCs w:val="20"/>
          <w:rtl/>
        </w:rPr>
        <w:t xml:space="preserve"> {</w:t>
      </w:r>
      <w:r w:rsidRPr="00B77106">
        <w:rPr>
          <w:rFonts w:ascii="QCF_P220" w:hAnsi="QCF_P220" w:cs="QCF_P220"/>
          <w:color w:val="008000"/>
          <w:sz w:val="20"/>
          <w:szCs w:val="20"/>
          <w:rtl/>
        </w:rPr>
        <w:t>ﭧ ﭨ ﭩ ﭪ ﭫ ﭬ ﭭ ﭮ ﭯ ﭰ ﭱ ﭲ ﭳ ﭴ ﭵ ﭶ</w:t>
      </w:r>
      <w:r w:rsidRPr="00B77106">
        <w:rPr>
          <w:rFonts w:ascii="QCF_P220" w:hAnsi="QCF_P220" w:cs="DecoType Thuluth"/>
          <w:color w:val="008000"/>
          <w:sz w:val="20"/>
          <w:szCs w:val="20"/>
          <w:rtl/>
        </w:rPr>
        <w:t>}</w:t>
      </w:r>
      <w:r w:rsidRPr="00B77106">
        <w:rPr>
          <w:rFonts w:cs="AL-Hotham" w:hint="cs"/>
          <w:sz w:val="20"/>
          <w:szCs w:val="20"/>
          <w:rtl/>
        </w:rPr>
        <w:t xml:space="preserve"> </w:t>
      </w:r>
      <w:r w:rsidRPr="00B77106">
        <w:rPr>
          <w:rFonts w:asciiTheme="majorBidi" w:hAnsiTheme="majorBidi" w:cstheme="majorBidi"/>
          <w:b/>
          <w:bCs/>
          <w:sz w:val="20"/>
          <w:szCs w:val="20"/>
          <w:rtl/>
        </w:rPr>
        <w:t>[يونس: 99].</w:t>
      </w:r>
    </w:p>
    <w:p w:rsidR="00B77106" w:rsidRPr="00B77106" w:rsidRDefault="00B77106" w:rsidP="00B77106">
      <w:pPr>
        <w:pStyle w:val="NormalWeb"/>
        <w:bidi/>
        <w:spacing w:after="120"/>
        <w:jc w:val="lowKashida"/>
        <w:rPr>
          <w:rFonts w:asciiTheme="majorBidi" w:hAnsiTheme="majorBidi" w:cstheme="majorBidi"/>
          <w:b/>
          <w:bCs/>
          <w:sz w:val="20"/>
          <w:szCs w:val="20"/>
          <w:lang w:bidi="ar-EG"/>
        </w:rPr>
      </w:pPr>
      <w:r w:rsidRPr="00B77106">
        <w:rPr>
          <w:rFonts w:asciiTheme="majorBidi" w:hAnsiTheme="majorBidi" w:cstheme="majorBidi"/>
          <w:b/>
          <w:bCs/>
          <w:sz w:val="20"/>
          <w:szCs w:val="20"/>
          <w:rtl/>
        </w:rPr>
        <w:t>وفي هذا يقول الدريني: الحرية أصل الاعتقاد إذ لا إكراه في الدين؛ فكان التحكم منتفيًا، ومحرمًا في الشرع أصلًا عقيدة ومعاملة، وبناءً على هذا الأصل أجاز العلماء للذمي مباشرة شعائره الدينية</w:t>
      </w:r>
      <w:r w:rsidRPr="00B77106">
        <w:rPr>
          <w:rFonts w:asciiTheme="majorBidi" w:hAnsiTheme="majorBidi" w:cstheme="majorBidi"/>
          <w:b/>
          <w:bCs/>
          <w:sz w:val="20"/>
          <w:szCs w:val="20"/>
          <w:rtl/>
          <w:lang w:bidi="ar-EG"/>
        </w:rPr>
        <w:t>.</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lastRenderedPageBreak/>
        <w:t>والمقصود من هذا</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عدم المس بحرية اختياره؛ فالشريعة بهذا لا توفر الحرية للمسلمين فحسب، بل توفرها للذين يعيشون تحت مظلة الإسلام، وهم غير مسلمين.</w:t>
      </w:r>
    </w:p>
    <w:p w:rsidR="00B77106" w:rsidRPr="00B77106" w:rsidRDefault="00B77106" w:rsidP="00B77106">
      <w:pPr>
        <w:pStyle w:val="NormalWeb"/>
        <w:bidi/>
        <w:spacing w:after="120"/>
        <w:jc w:val="lowKashida"/>
        <w:rPr>
          <w:rFonts w:asciiTheme="majorBidi" w:hAnsiTheme="majorBidi" w:cstheme="majorBidi"/>
          <w:b/>
          <w:bCs/>
          <w:spacing w:val="-6"/>
          <w:sz w:val="20"/>
          <w:szCs w:val="20"/>
        </w:rPr>
      </w:pPr>
      <w:r w:rsidRPr="00B77106">
        <w:rPr>
          <w:rFonts w:asciiTheme="majorBidi" w:hAnsiTheme="majorBidi" w:cstheme="majorBidi"/>
          <w:b/>
          <w:bCs/>
          <w:sz w:val="20"/>
          <w:szCs w:val="20"/>
          <w:rtl/>
        </w:rPr>
        <w:t xml:space="preserve">إن الشريعة الإسلامية كما عملت بحرصٍ شديد لصيانة حق الحرية للأفراد من الضياع والاعتداء عليها؛ عملت في الجانب المقابل على حماية هذا الحق من </w:t>
      </w:r>
      <w:r w:rsidRPr="00B77106">
        <w:rPr>
          <w:rFonts w:asciiTheme="majorBidi" w:hAnsiTheme="majorBidi" w:cstheme="majorBidi"/>
          <w:b/>
          <w:bCs/>
          <w:spacing w:val="-6"/>
          <w:sz w:val="20"/>
          <w:szCs w:val="20"/>
          <w:rtl/>
        </w:rPr>
        <w:t xml:space="preserve">التعسف في استعماله والإفراط في ذلك، وتماشيًا مع هذا المبدأ أوجبت الشريعة الإسلامية الحجر على المكلفين الذين زاغت تصرفاتهم عن جادة الطريق، وذلك مثل الرضا بالرق والاسترقاق والإسراف في إتلاف الأموال، وفي هذا يقول الله تعالى: </w:t>
      </w:r>
      <w:r w:rsidRPr="00B77106">
        <w:rPr>
          <w:rFonts w:cs="DecoType Thuluth" w:hint="cs"/>
          <w:color w:val="008000"/>
          <w:spacing w:val="-6"/>
          <w:sz w:val="20"/>
          <w:szCs w:val="20"/>
          <w:rtl/>
        </w:rPr>
        <w:t>{</w:t>
      </w:r>
      <w:r w:rsidRPr="00B77106">
        <w:rPr>
          <w:rFonts w:ascii="QCF_P077" w:hAnsi="QCF_P077" w:cs="QCF_P077"/>
          <w:color w:val="008000"/>
          <w:spacing w:val="-6"/>
          <w:sz w:val="20"/>
          <w:szCs w:val="20"/>
          <w:rtl/>
        </w:rPr>
        <w:t>ﯔ ﯕ ﯖ ﯗ ﯘ ﯙ ﯚ ﯛ ﯜ ﯝ ﯞ</w:t>
      </w:r>
      <w:r w:rsidRPr="00B77106">
        <w:rPr>
          <w:rFonts w:ascii="QCF_P077" w:hAnsi="QCF_P077" w:cs="DecoType Thuluth"/>
          <w:color w:val="008000"/>
          <w:spacing w:val="-6"/>
          <w:sz w:val="20"/>
          <w:szCs w:val="20"/>
          <w:rtl/>
        </w:rPr>
        <w:t>}</w:t>
      </w:r>
      <w:r w:rsidRPr="00B77106">
        <w:rPr>
          <w:rFonts w:cs="AL-Hotham" w:hint="cs"/>
          <w:spacing w:val="-6"/>
          <w:sz w:val="20"/>
          <w:szCs w:val="20"/>
          <w:rtl/>
        </w:rPr>
        <w:t xml:space="preserve"> </w:t>
      </w:r>
      <w:r w:rsidRPr="00B77106">
        <w:rPr>
          <w:rFonts w:asciiTheme="majorBidi" w:hAnsiTheme="majorBidi" w:cstheme="majorBidi"/>
          <w:b/>
          <w:bCs/>
          <w:spacing w:val="-6"/>
          <w:sz w:val="20"/>
          <w:szCs w:val="20"/>
          <w:rtl/>
        </w:rPr>
        <w:t xml:space="preserve">[النساء: 5] وكذلك الإلقاء باليد إلى التهلكة، قال تعالى: </w:t>
      </w:r>
      <w:r w:rsidRPr="00B77106">
        <w:rPr>
          <w:rFonts w:cs="DecoType Thuluth" w:hint="cs"/>
          <w:color w:val="008000"/>
          <w:spacing w:val="-6"/>
          <w:sz w:val="20"/>
          <w:szCs w:val="20"/>
          <w:rtl/>
        </w:rPr>
        <w:t>{</w:t>
      </w:r>
      <w:r w:rsidRPr="00B77106">
        <w:rPr>
          <w:rFonts w:ascii="QCF_P030" w:hAnsi="QCF_P030" w:cs="QCF_P030"/>
          <w:color w:val="008000"/>
          <w:spacing w:val="-6"/>
          <w:sz w:val="20"/>
          <w:szCs w:val="20"/>
          <w:rtl/>
        </w:rPr>
        <w:t>ﮤ ﮥ ﮦ ﮧ ﮨ</w:t>
      </w:r>
      <w:r w:rsidRPr="00B77106">
        <w:rPr>
          <w:rFonts w:ascii="QCF_P030" w:hAnsi="QCF_P030" w:cs="DecoType Thuluth"/>
          <w:color w:val="008000"/>
          <w:spacing w:val="-6"/>
          <w:sz w:val="20"/>
          <w:szCs w:val="20"/>
          <w:rtl/>
        </w:rPr>
        <w:t>}</w:t>
      </w:r>
      <w:r w:rsidRPr="00B77106">
        <w:rPr>
          <w:rFonts w:ascii="QCF_P030" w:hAnsi="QCF_P030" w:cs="DecoType Thuluth" w:hint="cs"/>
          <w:color w:val="008000"/>
          <w:spacing w:val="-6"/>
          <w:sz w:val="20"/>
          <w:szCs w:val="20"/>
          <w:rtl/>
        </w:rPr>
        <w:t xml:space="preserve"> </w:t>
      </w:r>
      <w:r w:rsidRPr="00B77106">
        <w:rPr>
          <w:rFonts w:asciiTheme="majorBidi" w:hAnsiTheme="majorBidi" w:cstheme="majorBidi"/>
          <w:b/>
          <w:bCs/>
          <w:spacing w:val="-6"/>
          <w:sz w:val="20"/>
          <w:szCs w:val="20"/>
          <w:rtl/>
        </w:rPr>
        <w:t>[البقرة: 195].</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وقال الإمام المقري في هذا السياق: وقد يحجر على العبد في حقه لنفاسته؛ فيصير حقًا لله تعالى كالرضا بالرق، والسرقة في المال، والإلقاء باليد إلى التهلكة.</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والنتيجة التي نستخلصها: من الصعب الفصل بين أنواع الحريات بعضها عن بعض؛ فهي صفة كلية لا تقبل التجزئة.</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وعلى ذلك؛ فلم يبقَ مجال للشك في أن أهم مقصد للشريعة من التشريع انتظام أمر الأمة، وجلب المصالح إليها، ودفع الضرر والفساد عنها.</w:t>
      </w:r>
    </w:p>
    <w:p w:rsidR="00B77106" w:rsidRPr="00B77106" w:rsidRDefault="00B77106" w:rsidP="00B77106">
      <w:pPr>
        <w:pStyle w:val="NormalWeb"/>
        <w:bidi/>
        <w:jc w:val="lowKashida"/>
        <w:rPr>
          <w:rFonts w:asciiTheme="majorBidi" w:hAnsiTheme="majorBidi" w:cstheme="majorBidi"/>
          <w:b/>
          <w:bCs/>
          <w:color w:val="000080"/>
          <w:sz w:val="20"/>
          <w:szCs w:val="20"/>
        </w:rPr>
      </w:pPr>
      <w:r w:rsidRPr="00B77106">
        <w:rPr>
          <w:rFonts w:asciiTheme="majorBidi" w:hAnsiTheme="majorBidi" w:cstheme="majorBidi"/>
          <w:b/>
          <w:bCs/>
          <w:color w:val="000080"/>
          <w:sz w:val="20"/>
          <w:szCs w:val="20"/>
          <w:rtl/>
        </w:rPr>
        <w:t>مقاصد التشريع ال</w:t>
      </w:r>
      <w:r w:rsidRPr="00B77106">
        <w:rPr>
          <w:rFonts w:asciiTheme="majorBidi" w:hAnsiTheme="majorBidi" w:cstheme="majorBidi"/>
          <w:b/>
          <w:bCs/>
          <w:color w:val="000080"/>
          <w:sz w:val="20"/>
          <w:szCs w:val="20"/>
          <w:rtl/>
          <w:lang w:bidi="ar-EG"/>
        </w:rPr>
        <w:t>ت</w:t>
      </w:r>
      <w:r w:rsidRPr="00B77106">
        <w:rPr>
          <w:rFonts w:asciiTheme="majorBidi" w:hAnsiTheme="majorBidi" w:cstheme="majorBidi"/>
          <w:b/>
          <w:bCs/>
          <w:color w:val="000080"/>
          <w:sz w:val="20"/>
          <w:szCs w:val="20"/>
          <w:rtl/>
        </w:rPr>
        <w:t>ي تختص بأنواع المعاملات بين الناس، والوسائل وأقسامها:</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يقول الطاهر بن عاشور -رحمه الله-: المعاملات في توجه الأحكام التشريعية لها مرتبتان: مقاصد ووسائل؛ فهذا الباب هو المدخل لتمييز الأحكام الشرعية المنوطة بتصرفات الأمة، ومعاملاتها؛ ليعرف ما هو منها في رتبة المقصد؛ فهو في المرتبة الأولى في محافظة الشرع على إثباته وقوعًا ورفعًا، وما هو في رتبة الوسيلة؛ فهو في المرتبة الثانية تابع لحالة غيره.</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فسموا الذريعة: وسيلة، والمتذرع إليه: مقصدًا.</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lang w:bidi="ar-EG"/>
        </w:rPr>
        <w:t>و</w:t>
      </w:r>
      <w:r w:rsidRPr="00B77106">
        <w:rPr>
          <w:rFonts w:asciiTheme="majorBidi" w:hAnsiTheme="majorBidi" w:cstheme="majorBidi"/>
          <w:b/>
          <w:bCs/>
          <w:sz w:val="20"/>
          <w:szCs w:val="20"/>
          <w:rtl/>
        </w:rPr>
        <w:t>انقسام المصالح والمفاسد إلى الوسائل والمقاصد، فموارد الأحكام ضربان أحدهما</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مقاصد، والثاني</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وسائل</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فالمقاصد هي المتضمنة للمصالح، والمفاسد في أنفسها، والوسائل هي الطرق المفضية إليها، والوسيلة إلى أفضل المقاصد هي أفضل الوسائل، والوسيلة إلى أرذل المقاصد هي أرذل الوسائل، وإلى متوسطة</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ثم تترتب الوسائل بترتب المصالح والمفاسد.</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فمن وفقه الله تعالى للوقوف على رتب المصالح عرف فاضلها من مفضولها، ومقدمها من مؤخرها، وكذلك من وفقه الله تعالى لمعرفة رتب المفاسد؛ فإنه يدرأ أعظمها بأخفها عند تزاحمها.</w:t>
      </w:r>
    </w:p>
    <w:p w:rsidR="00B77106" w:rsidRPr="00B77106" w:rsidRDefault="00B77106" w:rsidP="00B77106">
      <w:pPr>
        <w:pStyle w:val="NormalWeb"/>
        <w:bidi/>
        <w:spacing w:after="120"/>
        <w:jc w:val="lowKashida"/>
        <w:rPr>
          <w:rFonts w:asciiTheme="majorBidi" w:hAnsiTheme="majorBidi" w:cstheme="majorBidi"/>
          <w:b/>
          <w:bCs/>
          <w:sz w:val="20"/>
          <w:szCs w:val="20"/>
          <w:rtl/>
        </w:rPr>
      </w:pPr>
      <w:r w:rsidRPr="00B77106">
        <w:rPr>
          <w:rFonts w:asciiTheme="majorBidi" w:hAnsiTheme="majorBidi" w:cstheme="majorBidi"/>
          <w:b/>
          <w:bCs/>
          <w:sz w:val="20"/>
          <w:szCs w:val="20"/>
          <w:rtl/>
        </w:rPr>
        <w:t>إن الأحكام المنوطة بتصرفات الناس في معاملاتهم الصالحة والفاسدة، وإن كانت قد توجد متماثلة في الرتب المعبر عنها في أصول الفقه، وفي الفقه بأقسام الحكم الشرعي</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هي في الاعتبار الشرعي متفاوتة بحسب كون مناطها من التصرفات مقصدًا أو وسيلة في نظر الشرع أو في نظر الناس؛ ولذلك تعين أن نبحث عن هاتين المرتبتين من التصرفات:</w:t>
      </w:r>
    </w:p>
    <w:p w:rsidR="00B77106" w:rsidRPr="00B77106" w:rsidRDefault="00B77106" w:rsidP="00B77106">
      <w:pPr>
        <w:pStyle w:val="NormalWeb"/>
        <w:bidi/>
        <w:jc w:val="lowKashida"/>
        <w:rPr>
          <w:rFonts w:asciiTheme="majorBidi" w:hAnsiTheme="majorBidi" w:cstheme="majorBidi"/>
          <w:b/>
          <w:bCs/>
          <w:color w:val="000080"/>
          <w:sz w:val="20"/>
          <w:szCs w:val="20"/>
          <w:rtl/>
        </w:rPr>
      </w:pPr>
      <w:r w:rsidRPr="00B77106">
        <w:rPr>
          <w:rFonts w:asciiTheme="majorBidi" w:hAnsiTheme="majorBidi" w:cstheme="majorBidi"/>
          <w:b/>
          <w:bCs/>
          <w:color w:val="000080"/>
          <w:sz w:val="20"/>
          <w:szCs w:val="20"/>
          <w:rtl/>
        </w:rPr>
        <w:t>المقاصد:</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فالمقاصد هي الأعمال والتصرفات المقصودة لذاتها، والتي تسعى النفوس إلى تحصيلها بمساعٍ شتى، وتلك تنقسم إلى قسمين: مقاصد للشرع، ومقاصد للناس في تصرفاتهم.</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lastRenderedPageBreak/>
        <w:t>فأما المقاصد للشرع فقد سبق تفصيلها في القسمين الأول والثاني، وإنما يتفرع عنها ما يختص بهذا القسم معرفة المعاملة الشرعية الخاصة في أبواب المعاملات، وهي الكيفيات المقصودة للشارع؛ لتحقيق مقاصد الناس النافعة، وذلك كي لا يعود سعيهم في مصالحهم الخاصة بإبطال ما أسس لهم من تحصيل مصالحهم العامة</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إبطالا عن غفلة أو عن استذلال هوى، وباطل شهوة.</w:t>
      </w:r>
    </w:p>
    <w:p w:rsidR="00B77106" w:rsidRPr="00B77106" w:rsidRDefault="00B77106" w:rsidP="00B77106">
      <w:pPr>
        <w:pStyle w:val="NormalWeb"/>
        <w:bidi/>
        <w:spacing w:after="120"/>
        <w:jc w:val="lowKashida"/>
        <w:rPr>
          <w:rFonts w:asciiTheme="majorBidi" w:hAnsiTheme="majorBidi" w:cstheme="majorBidi"/>
          <w:b/>
          <w:bCs/>
          <w:sz w:val="20"/>
          <w:szCs w:val="20"/>
          <w:rtl/>
        </w:rPr>
      </w:pPr>
      <w:r w:rsidRPr="00B77106">
        <w:rPr>
          <w:rFonts w:asciiTheme="majorBidi" w:hAnsiTheme="majorBidi" w:cstheme="majorBidi"/>
          <w:b/>
          <w:bCs/>
          <w:sz w:val="20"/>
          <w:szCs w:val="20"/>
          <w:rtl/>
        </w:rPr>
        <w:t>وأما مقاصد الناس في تصرفاتهم؛ فهي المعاني التي لأجلها تعاقدوا أو تغارموا أو تقاضوا أو تصالحوا، وهو قسمان:</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قسم هو أعلاها: وهو أنواع التصرفات التي اتفق عليها العقلاء لما وجدوها ملائمة لانتظام حياتهم الاجتماعية مثل البيع، والإجارة، والعارية، وما كان من أحكام تلك الأنواع مقصودًا بها لذاته</w:t>
      </w:r>
      <w:r w:rsidRPr="00B77106">
        <w:rPr>
          <w:rFonts w:asciiTheme="majorBidi" w:hAnsiTheme="majorBidi" w:cstheme="majorBidi"/>
          <w:b/>
          <w:bCs/>
          <w:sz w:val="20"/>
          <w:szCs w:val="20"/>
          <w:rtl/>
          <w:lang w:bidi="ar-EG"/>
        </w:rPr>
        <w:t>؛</w:t>
      </w:r>
      <w:r w:rsidRPr="00B77106">
        <w:rPr>
          <w:rFonts w:asciiTheme="majorBidi" w:hAnsiTheme="majorBidi" w:cstheme="majorBidi"/>
          <w:b/>
          <w:bCs/>
          <w:sz w:val="20"/>
          <w:szCs w:val="20"/>
          <w:rtl/>
        </w:rPr>
        <w:t xml:space="preserve"> لكونه قوام ماهيتها كالتوزيع في الإجارة، والتأجيل في السلم، ويعلم هذا النوع باستقراء أحوال البشر.</w:t>
      </w:r>
    </w:p>
    <w:p w:rsidR="00B77106" w:rsidRPr="00B77106" w:rsidRDefault="00B77106" w:rsidP="00B77106">
      <w:pPr>
        <w:pStyle w:val="NormalWeb"/>
        <w:bidi/>
        <w:spacing w:after="120"/>
        <w:jc w:val="lowKashida"/>
        <w:rPr>
          <w:rFonts w:asciiTheme="majorBidi" w:hAnsiTheme="majorBidi" w:cstheme="majorBidi"/>
          <w:b/>
          <w:bCs/>
          <w:sz w:val="20"/>
          <w:szCs w:val="20"/>
        </w:rPr>
      </w:pPr>
      <w:r w:rsidRPr="00B77106">
        <w:rPr>
          <w:rFonts w:asciiTheme="majorBidi" w:hAnsiTheme="majorBidi" w:cstheme="majorBidi"/>
          <w:b/>
          <w:bCs/>
          <w:sz w:val="20"/>
          <w:szCs w:val="20"/>
          <w:rtl/>
        </w:rPr>
        <w:t>وقسم هو دون ذلك: وهو الذي يقصده فريق من الناس أو آحاد منهم في تصرفاتهم لملائمةٍ خاصة بأحوال، مثل العمرة، والعارية، ومثل القراء المؤيد بالعرف، والمعروف بالحكر في مصر، وهذا القسم يعرف بالأمارة والقرينة والحاجة الطارئة.</w:t>
      </w:r>
    </w:p>
    <w:p w:rsidR="00B77106" w:rsidRPr="00B77106" w:rsidRDefault="00B77106" w:rsidP="00B77106">
      <w:pPr>
        <w:spacing w:after="120" w:line="240" w:lineRule="auto"/>
        <w:jc w:val="center"/>
        <w:rPr>
          <w:rFonts w:asciiTheme="majorBidi" w:hAnsiTheme="majorBidi" w:cstheme="majorBidi"/>
          <w:b/>
          <w:bCs/>
          <w:sz w:val="20"/>
          <w:szCs w:val="20"/>
          <w:rtl/>
          <w:lang w:bidi="ar-EG"/>
        </w:rPr>
      </w:pPr>
      <w:r w:rsidRPr="00B77106">
        <w:rPr>
          <w:rFonts w:asciiTheme="majorBidi" w:hAnsiTheme="majorBidi" w:cstheme="majorBidi"/>
          <w:b/>
          <w:bCs/>
          <w:sz w:val="20"/>
          <w:szCs w:val="20"/>
          <w:rtl/>
          <w:lang w:bidi="ar-EG"/>
        </w:rPr>
        <w:t>المراجع والمصادر</w:t>
      </w:r>
    </w:p>
    <w:p w:rsidR="00B77106" w:rsidRPr="00B77106" w:rsidRDefault="00B77106" w:rsidP="00B77106">
      <w:pPr>
        <w:numPr>
          <w:ilvl w:val="0"/>
          <w:numId w:val="2"/>
        </w:numPr>
        <w:spacing w:after="120" w:line="240" w:lineRule="auto"/>
        <w:ind w:left="322" w:firstLine="0"/>
        <w:jc w:val="lowKashida"/>
        <w:rPr>
          <w:rFonts w:asciiTheme="majorBidi" w:hAnsiTheme="majorBidi" w:cstheme="majorBidi"/>
          <w:b/>
          <w:bCs/>
          <w:sz w:val="20"/>
          <w:szCs w:val="20"/>
          <w:rtl/>
        </w:rPr>
      </w:pPr>
      <w:r w:rsidRPr="00B77106">
        <w:rPr>
          <w:rFonts w:asciiTheme="majorBidi" w:hAnsiTheme="majorBidi" w:cstheme="majorBidi"/>
          <w:b/>
          <w:bCs/>
          <w:sz w:val="20"/>
          <w:szCs w:val="20"/>
          <w:rtl/>
          <w:lang w:bidi="ar-EG"/>
        </w:rPr>
        <w:t>الريسوني، أحمد الريسوني،  (نظرية المقاصد عند الإمام الشاطبي)، المعهد العالمي للفكر الإسلامي، 1995م</w:t>
      </w:r>
    </w:p>
    <w:p w:rsidR="00B77106" w:rsidRPr="00B77106" w:rsidRDefault="00B77106" w:rsidP="00B77106">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B77106">
        <w:rPr>
          <w:rFonts w:asciiTheme="majorBidi" w:hAnsiTheme="majorBidi" w:cstheme="majorBidi"/>
          <w:b/>
          <w:bCs/>
          <w:sz w:val="20"/>
          <w:szCs w:val="20"/>
          <w:rtl/>
          <w:lang w:bidi="ar-EG"/>
        </w:rPr>
        <w:t>ابن عاشور، محمد الطاهر ابن عاشور،  (مقاصد الشريعة الإسلامية) ، دار السلام للطباعة والنشر والتوزيع والترجمة، 2005م</w:t>
      </w:r>
    </w:p>
    <w:p w:rsidR="00B77106" w:rsidRPr="00B77106" w:rsidRDefault="00B77106" w:rsidP="00B77106">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B77106">
        <w:rPr>
          <w:rFonts w:asciiTheme="majorBidi" w:hAnsiTheme="majorBidi" w:cstheme="majorBidi"/>
          <w:b/>
          <w:bCs/>
          <w:sz w:val="20"/>
          <w:szCs w:val="20"/>
          <w:rtl/>
          <w:lang w:bidi="ar-EG"/>
        </w:rPr>
        <w:t>العالم، يوسف حامد العالم، (المقاصد العامة للشريعة الإسلامية) ، هيرندن –فيرجينيا، المعهد العالمي للفكر الإسلامي، 1991م</w:t>
      </w:r>
    </w:p>
    <w:p w:rsidR="00B77106" w:rsidRPr="00B77106" w:rsidRDefault="00B77106" w:rsidP="00B77106">
      <w:pPr>
        <w:numPr>
          <w:ilvl w:val="0"/>
          <w:numId w:val="2"/>
        </w:numPr>
        <w:spacing w:after="120" w:line="240" w:lineRule="auto"/>
        <w:ind w:left="322" w:firstLine="0"/>
        <w:jc w:val="lowKashida"/>
        <w:rPr>
          <w:rFonts w:asciiTheme="majorBidi" w:hAnsiTheme="majorBidi" w:cstheme="majorBidi"/>
          <w:b/>
          <w:bCs/>
          <w:spacing w:val="-8"/>
          <w:sz w:val="20"/>
          <w:szCs w:val="20"/>
          <w:lang w:bidi="ar-EG"/>
        </w:rPr>
      </w:pPr>
      <w:r w:rsidRPr="00B77106">
        <w:rPr>
          <w:rFonts w:asciiTheme="majorBidi" w:hAnsiTheme="majorBidi" w:cstheme="majorBidi"/>
          <w:b/>
          <w:bCs/>
          <w:sz w:val="20"/>
          <w:szCs w:val="20"/>
          <w:rtl/>
          <w:lang w:bidi="ar-EG"/>
        </w:rPr>
        <w:t xml:space="preserve">الجندي، سميح الجندي،    </w:t>
      </w:r>
      <w:r w:rsidRPr="00B77106">
        <w:rPr>
          <w:rFonts w:asciiTheme="majorBidi" w:hAnsiTheme="majorBidi" w:cstheme="majorBidi"/>
          <w:b/>
          <w:bCs/>
          <w:spacing w:val="-8"/>
          <w:sz w:val="20"/>
          <w:szCs w:val="20"/>
          <w:rtl/>
          <w:lang w:bidi="ar-EG"/>
        </w:rPr>
        <w:t xml:space="preserve">(أهمية المقاصد في الشريعة الإسلامية وآثارها في فهم النص واستنباط الحكم) </w:t>
      </w:r>
      <w:r w:rsidRPr="00B77106">
        <w:rPr>
          <w:rFonts w:asciiTheme="majorBidi" w:hAnsiTheme="majorBidi" w:cstheme="majorBidi"/>
          <w:b/>
          <w:bCs/>
          <w:sz w:val="20"/>
          <w:szCs w:val="20"/>
          <w:rtl/>
          <w:lang w:bidi="ar-EG"/>
        </w:rPr>
        <w:t>،  دار الإيمان للطبع والنشر والتوزيع، 2003م</w:t>
      </w:r>
    </w:p>
    <w:p w:rsidR="00B77106" w:rsidRPr="00B77106" w:rsidRDefault="00B77106" w:rsidP="00B77106">
      <w:pPr>
        <w:numPr>
          <w:ilvl w:val="0"/>
          <w:numId w:val="2"/>
        </w:numPr>
        <w:spacing w:after="120" w:line="240" w:lineRule="auto"/>
        <w:ind w:left="322" w:firstLine="0"/>
        <w:jc w:val="lowKashida"/>
        <w:rPr>
          <w:rFonts w:asciiTheme="majorBidi" w:hAnsiTheme="majorBidi" w:cstheme="majorBidi"/>
          <w:b/>
          <w:bCs/>
          <w:sz w:val="20"/>
          <w:szCs w:val="20"/>
          <w:lang w:bidi="ar-EG"/>
        </w:rPr>
      </w:pPr>
      <w:r w:rsidRPr="00B77106">
        <w:rPr>
          <w:rFonts w:asciiTheme="majorBidi" w:hAnsiTheme="majorBidi" w:cstheme="majorBidi"/>
          <w:b/>
          <w:bCs/>
          <w:sz w:val="20"/>
          <w:szCs w:val="20"/>
          <w:rtl/>
          <w:lang w:bidi="ar-EG"/>
        </w:rPr>
        <w:t>عطية، جمال الدين عطية،  (النَّظرية العامة للشريعة الإسلامية) ، القاهرة، مطبعة المدينة، 1988م</w:t>
      </w:r>
    </w:p>
    <w:p w:rsidR="00B77106" w:rsidRPr="00B77106" w:rsidRDefault="00B77106" w:rsidP="00B77106">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B77106">
        <w:rPr>
          <w:rFonts w:asciiTheme="majorBidi" w:hAnsiTheme="majorBidi" w:cstheme="majorBidi"/>
          <w:b/>
          <w:bCs/>
          <w:sz w:val="20"/>
          <w:szCs w:val="20"/>
          <w:rtl/>
          <w:lang w:bidi="ar-EG"/>
        </w:rPr>
        <w:t>الحسني، إسماعيل الحسني،    (نظرية المقاصد عند ابن عاشور) ،  المعهد العالمي للفكر الإسلامي، 1995م</w:t>
      </w:r>
    </w:p>
    <w:p w:rsidR="00B77106" w:rsidRPr="00B77106" w:rsidRDefault="00B77106" w:rsidP="00B77106">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B77106">
        <w:rPr>
          <w:rFonts w:asciiTheme="majorBidi" w:hAnsiTheme="majorBidi" w:cstheme="majorBidi"/>
          <w:b/>
          <w:bCs/>
          <w:sz w:val="20"/>
          <w:szCs w:val="20"/>
          <w:rtl/>
          <w:lang w:bidi="ar-EG"/>
        </w:rPr>
        <w:t>عبد الخالق، عبد الرحمن عبد الخالق،     (المقاصد العامة للشريعة الإسلامية) ،  مكتبة الصحوة الإسلامية، 1985م</w:t>
      </w:r>
    </w:p>
    <w:p w:rsidR="00B77106" w:rsidRPr="00B77106" w:rsidRDefault="00B77106" w:rsidP="00B77106">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B77106">
        <w:rPr>
          <w:rFonts w:asciiTheme="majorBidi" w:hAnsiTheme="majorBidi" w:cstheme="majorBidi"/>
          <w:b/>
          <w:bCs/>
          <w:sz w:val="20"/>
          <w:szCs w:val="20"/>
          <w:rtl/>
          <w:lang w:bidi="ar-EG"/>
        </w:rPr>
        <w:t>الفاسي، علال الفاسي،    (مقاصد الشريعة الإسلامية ومكارمها) ،  دار الغرب الإسلامي، 1993م</w:t>
      </w:r>
    </w:p>
    <w:p w:rsidR="00B77106" w:rsidRPr="00B77106" w:rsidRDefault="00B77106" w:rsidP="00B77106">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B77106">
        <w:rPr>
          <w:rFonts w:asciiTheme="majorBidi" w:hAnsiTheme="majorBidi" w:cstheme="majorBidi"/>
          <w:b/>
          <w:bCs/>
          <w:sz w:val="20"/>
          <w:szCs w:val="20"/>
          <w:rtl/>
          <w:lang w:bidi="ar-EG"/>
        </w:rPr>
        <w:t>الصدي، محمد علي الصدي،  (مقاصد الشارع الضرورية دراسة تأصيلية)  ، جامعة الإمام محمد بن سعود الإسلامية، 2004م</w:t>
      </w:r>
    </w:p>
    <w:p w:rsidR="00B77106" w:rsidRPr="00B77106" w:rsidRDefault="00B77106" w:rsidP="00B77106">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B77106">
        <w:rPr>
          <w:rFonts w:asciiTheme="majorBidi" w:hAnsiTheme="majorBidi" w:cstheme="majorBidi"/>
          <w:b/>
          <w:bCs/>
          <w:sz w:val="20"/>
          <w:szCs w:val="20"/>
          <w:rtl/>
          <w:lang w:bidi="ar-EG"/>
        </w:rPr>
        <w:t>الخادمي، نور الدين مختار الخادمي،   (المقاصد الشرعية: تعريفها، أمثلتها، حجتها) ،  دار إشبيليا للنشر والتوزيع، 2003م</w:t>
      </w:r>
    </w:p>
    <w:p w:rsidR="00B77106" w:rsidRPr="00B77106" w:rsidRDefault="00B77106" w:rsidP="00B77106">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B77106">
        <w:rPr>
          <w:rFonts w:asciiTheme="majorBidi" w:hAnsiTheme="majorBidi" w:cstheme="majorBidi"/>
          <w:b/>
          <w:bCs/>
          <w:sz w:val="20"/>
          <w:szCs w:val="20"/>
          <w:rtl/>
          <w:lang w:bidi="ar-EG"/>
        </w:rPr>
        <w:t>الزحيلي، محمد الزحيلي،   (مقاصد الشريعة) ،  دار المكتبي للطباعة والنشر والتوزيع، 1998م</w:t>
      </w:r>
    </w:p>
    <w:p w:rsidR="00B77106" w:rsidRPr="00B77106" w:rsidRDefault="00B77106" w:rsidP="00B77106">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B77106">
        <w:rPr>
          <w:rFonts w:asciiTheme="majorBidi" w:hAnsiTheme="majorBidi" w:cstheme="majorBidi"/>
          <w:b/>
          <w:bCs/>
          <w:sz w:val="20"/>
          <w:szCs w:val="20"/>
          <w:rtl/>
          <w:lang w:bidi="ar-EG"/>
        </w:rPr>
        <w:t>العالم،  يوسف حامد العالم،    (المقاصد العامة للشريعة الإسلامية) ،  الدار العالمية للكتاب الإسلامية، 1994م</w:t>
      </w:r>
    </w:p>
    <w:p w:rsidR="00B77106" w:rsidRPr="00B77106" w:rsidRDefault="00B77106" w:rsidP="00B77106">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lang w:bidi="ar-EG"/>
        </w:rPr>
      </w:pPr>
      <w:r w:rsidRPr="00B77106">
        <w:rPr>
          <w:rFonts w:asciiTheme="majorBidi" w:hAnsiTheme="majorBidi" w:cstheme="majorBidi"/>
          <w:b/>
          <w:bCs/>
          <w:sz w:val="20"/>
          <w:szCs w:val="20"/>
          <w:rtl/>
          <w:lang w:bidi="ar-EG"/>
        </w:rPr>
        <w:t>الخادمي، نور الدين مختار الخادمي، (المقاصد الشرعية وصلتها بالأدلة الشرعية وبعض المصطلحات الأصولية) ، دار إشبيليا للنشر والتوزيع، 2003م</w:t>
      </w:r>
    </w:p>
    <w:p w:rsidR="00B77106" w:rsidRPr="00B77106" w:rsidRDefault="00B77106" w:rsidP="00B77106">
      <w:pPr>
        <w:spacing w:line="240" w:lineRule="auto"/>
        <w:rPr>
          <w:i/>
          <w:iCs/>
          <w:sz w:val="20"/>
          <w:szCs w:val="20"/>
          <w:rtl/>
        </w:rPr>
        <w:sectPr w:rsidR="00B77106" w:rsidRPr="00B77106" w:rsidSect="00B77106">
          <w:type w:val="continuous"/>
          <w:pgSz w:w="11906" w:h="16838"/>
          <w:pgMar w:top="964" w:right="1021" w:bottom="964" w:left="1021" w:header="709" w:footer="709" w:gutter="0"/>
          <w:cols w:num="2" w:space="708"/>
          <w:bidi/>
          <w:rtlGutter/>
          <w:docGrid w:linePitch="360"/>
        </w:sectPr>
      </w:pPr>
    </w:p>
    <w:p w:rsidR="00B77106" w:rsidRPr="00B77106" w:rsidRDefault="00B77106" w:rsidP="00B77106">
      <w:pPr>
        <w:spacing w:line="240" w:lineRule="auto"/>
        <w:rPr>
          <w:i/>
          <w:iCs/>
          <w:sz w:val="20"/>
          <w:szCs w:val="20"/>
        </w:rPr>
      </w:pPr>
    </w:p>
    <w:sectPr w:rsidR="00B77106" w:rsidRPr="00B77106" w:rsidSect="00B7710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093">
    <w:panose1 w:val="02000400000000000000"/>
    <w:charset w:val="00"/>
    <w:family w:val="auto"/>
    <w:pitch w:val="variable"/>
    <w:sig w:usb0="80002003" w:usb1="90000000" w:usb2="00000008" w:usb3="00000000" w:csb0="80000041" w:csb1="00000000"/>
  </w:font>
  <w:font w:name="QCF_P542">
    <w:panose1 w:val="02000400000000000000"/>
    <w:charset w:val="00"/>
    <w:family w:val="auto"/>
    <w:pitch w:val="variable"/>
    <w:sig w:usb0="80002003" w:usb1="90000000" w:usb2="00000008" w:usb3="00000000" w:csb0="80000041" w:csb1="00000000"/>
  </w:font>
  <w:font w:name="QCF_P122">
    <w:panose1 w:val="02000400000000000000"/>
    <w:charset w:val="00"/>
    <w:family w:val="auto"/>
    <w:pitch w:val="variable"/>
    <w:sig w:usb0="80002003" w:usb1="90000000" w:usb2="00000008" w:usb3="00000000" w:csb0="80000041" w:csb1="00000000"/>
  </w:font>
  <w:font w:name="QCF_P196">
    <w:panose1 w:val="02000400000000000000"/>
    <w:charset w:val="00"/>
    <w:family w:val="auto"/>
    <w:pitch w:val="variable"/>
    <w:sig w:usb0="80002003"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QCF_P594">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817BD"/>
    <w:multiLevelType w:val="hybridMultilevel"/>
    <w:tmpl w:val="B26A285E"/>
    <w:lvl w:ilvl="0" w:tplc="0BF660C2">
      <w:start w:val="1"/>
      <w:numFmt w:val="decimal"/>
      <w:lvlText w:val="%1."/>
      <w:lvlJc w:val="left"/>
      <w:pPr>
        <w:tabs>
          <w:tab w:val="num" w:pos="567"/>
        </w:tabs>
        <w:ind w:left="567" w:hanging="283"/>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2592A08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B77106"/>
    <w:rsid w:val="002640B3"/>
    <w:rsid w:val="00514443"/>
    <w:rsid w:val="008E296D"/>
    <w:rsid w:val="009556CB"/>
    <w:rsid w:val="00B77106"/>
    <w:rsid w:val="00BC1EE7"/>
    <w:rsid w:val="00BF7572"/>
    <w:rsid w:val="00CA0EA2"/>
    <w:rsid w:val="00EF7E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B77106"/>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B7710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710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2013-06-17T12:58:00Z</dcterms:created>
  <dcterms:modified xsi:type="dcterms:W3CDTF">2013-07-03T20:43:00Z</dcterms:modified>
</cp:coreProperties>
</file>