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F4" w:rsidRDefault="00BD7AF4" w:rsidP="00BD7AF4">
      <w:pPr>
        <w:spacing w:line="240" w:lineRule="auto"/>
        <w:jc w:val="center"/>
        <w:rPr>
          <w:i/>
          <w:iCs/>
          <w:rtl/>
        </w:rPr>
      </w:pPr>
      <w:r w:rsidRPr="00C84D4C">
        <w:rPr>
          <w:rFonts w:asciiTheme="majorBidi" w:eastAsia="Calibri" w:hAnsiTheme="majorBidi" w:cstheme="majorBidi"/>
          <w:i/>
          <w:iCs/>
          <w:sz w:val="48"/>
          <w:szCs w:val="48"/>
          <w:rtl/>
        </w:rPr>
        <w:t>عرض كلام العلماء في بيان المراد بالأحرف السبعة</w:t>
      </w:r>
    </w:p>
    <w:p w:rsidR="00BD7AF4" w:rsidRPr="00C84D4C" w:rsidRDefault="00BD7AF4" w:rsidP="00BD7AF4">
      <w:pPr>
        <w:spacing w:line="240" w:lineRule="auto"/>
        <w:jc w:val="center"/>
        <w:rPr>
          <w:rFonts w:asciiTheme="majorBidi" w:hAnsiTheme="majorBidi" w:cstheme="majorBidi"/>
          <w:i/>
          <w:iCs/>
          <w:sz w:val="48"/>
          <w:szCs w:val="48"/>
          <w:rtl/>
        </w:rPr>
      </w:pPr>
      <w:r w:rsidRPr="00C84D4C">
        <w:rPr>
          <w:rFonts w:asciiTheme="majorBidi" w:hAnsiTheme="majorBidi" w:cstheme="majorBidi"/>
          <w:i/>
          <w:iCs/>
          <w:sz w:val="48"/>
          <w:szCs w:val="48"/>
          <w:rtl/>
        </w:rPr>
        <w:t>(</w:t>
      </w:r>
      <w:r>
        <w:rPr>
          <w:rFonts w:asciiTheme="majorBidi" w:hAnsiTheme="majorBidi" w:cstheme="majorBidi" w:hint="cs"/>
          <w:i/>
          <w:iCs/>
          <w:sz w:val="48"/>
          <w:szCs w:val="48"/>
          <w:rtl/>
        </w:rPr>
        <w:t>2</w:t>
      </w:r>
      <w:r w:rsidRPr="00C84D4C">
        <w:rPr>
          <w:rFonts w:asciiTheme="majorBidi" w:hAnsiTheme="majorBidi" w:cstheme="majorBidi"/>
          <w:i/>
          <w:iCs/>
          <w:sz w:val="48"/>
          <w:szCs w:val="48"/>
          <w:rtl/>
        </w:rPr>
        <w:t>)</w:t>
      </w:r>
    </w:p>
    <w:p w:rsidR="00F87F11" w:rsidRDefault="00F87F11" w:rsidP="00F87F11">
      <w:pPr>
        <w:pStyle w:val="papersubtitle"/>
        <w:bidi/>
        <w:rPr>
          <w:i/>
          <w:iCs/>
        </w:rPr>
      </w:pPr>
      <w:r>
        <w:rPr>
          <w:rFonts w:hint="cs"/>
          <w:i/>
          <w:iCs/>
          <w:rtl/>
        </w:rPr>
        <w:t>بحث  فى دفاع عن القراَن</w:t>
      </w:r>
    </w:p>
    <w:p w:rsidR="00F87F11" w:rsidRDefault="00F87F11" w:rsidP="00F87F11">
      <w:pPr>
        <w:pStyle w:val="papersubtitle"/>
        <w:bidi/>
        <w:rPr>
          <w:rFonts w:hint="cs"/>
          <w:i/>
          <w:iCs/>
          <w:sz w:val="24"/>
          <w:szCs w:val="24"/>
          <w:rtl/>
        </w:rPr>
      </w:pPr>
      <w:r>
        <w:rPr>
          <w:rFonts w:hint="cs"/>
          <w:i/>
          <w:iCs/>
          <w:sz w:val="24"/>
          <w:szCs w:val="24"/>
          <w:rtl/>
        </w:rPr>
        <w:t>إعداد أ/ منى حسن صابر</w:t>
      </w:r>
    </w:p>
    <w:p w:rsidR="00F87F11" w:rsidRDefault="00F87F11" w:rsidP="00F87F11">
      <w:pPr>
        <w:pStyle w:val="papersubtitle"/>
        <w:bidi/>
        <w:rPr>
          <w:i/>
          <w:iCs/>
          <w:sz w:val="22"/>
          <w:szCs w:val="22"/>
        </w:rPr>
      </w:pPr>
      <w:r>
        <w:rPr>
          <w:rFonts w:hint="cs"/>
          <w:i/>
          <w:iCs/>
          <w:sz w:val="22"/>
          <w:szCs w:val="22"/>
          <w:rtl/>
        </w:rPr>
        <w:t>قسم التفسير وعلوم القراَن</w:t>
      </w:r>
    </w:p>
    <w:p w:rsidR="00F87F11" w:rsidRDefault="00F87F11" w:rsidP="00F87F11">
      <w:pPr>
        <w:pStyle w:val="papersubtitle"/>
        <w:bidi/>
        <w:rPr>
          <w:i/>
          <w:iCs/>
          <w:sz w:val="22"/>
          <w:szCs w:val="22"/>
        </w:rPr>
      </w:pPr>
      <w:r>
        <w:rPr>
          <w:rFonts w:hint="cs"/>
          <w:i/>
          <w:iCs/>
          <w:sz w:val="22"/>
          <w:szCs w:val="22"/>
          <w:rtl/>
        </w:rPr>
        <w:t>كلية العلوم الإسلامية – جامعة المدينة العالمية</w:t>
      </w:r>
    </w:p>
    <w:p w:rsidR="00F87F11" w:rsidRDefault="00F87F11" w:rsidP="00F87F11">
      <w:pPr>
        <w:pStyle w:val="papersubtitle"/>
        <w:bidi/>
        <w:rPr>
          <w:i/>
          <w:iCs/>
          <w:sz w:val="22"/>
          <w:szCs w:val="22"/>
        </w:rPr>
      </w:pPr>
      <w:r>
        <w:rPr>
          <w:rFonts w:hint="cs"/>
          <w:i/>
          <w:iCs/>
          <w:sz w:val="22"/>
          <w:szCs w:val="22"/>
          <w:rtl/>
        </w:rPr>
        <w:t>شاه علم – ماليزيا</w:t>
      </w:r>
    </w:p>
    <w:p w:rsidR="00F87F11" w:rsidRDefault="00F87F11" w:rsidP="00F87F11">
      <w:pPr>
        <w:spacing w:after="120"/>
        <w:jc w:val="center"/>
        <w:rPr>
          <w:rFonts w:asciiTheme="majorBidi" w:hAnsiTheme="majorBidi" w:cstheme="majorBidi" w:hint="cs"/>
          <w:b/>
          <w:bCs/>
          <w:sz w:val="20"/>
          <w:szCs w:val="20"/>
          <w:rtl/>
          <w:lang w:bidi="ar-EG"/>
        </w:rPr>
      </w:pPr>
      <w:r>
        <w:rPr>
          <w:rFonts w:asciiTheme="majorBidi" w:hAnsiTheme="majorBidi" w:cs="AL-Hotham"/>
          <w:i/>
          <w:iCs/>
        </w:rPr>
        <w:t>mona.hassan@mediu.edu.my</w:t>
      </w:r>
    </w:p>
    <w:p w:rsidR="00F87F11" w:rsidRDefault="00F87F11" w:rsidP="00F87F11">
      <w:pPr>
        <w:spacing w:after="120"/>
        <w:jc w:val="center"/>
        <w:rPr>
          <w:rFonts w:asciiTheme="majorBidi" w:hAnsiTheme="majorBidi" w:cstheme="majorBidi"/>
          <w:b/>
          <w:bCs/>
          <w:sz w:val="20"/>
          <w:szCs w:val="20"/>
          <w:rtl/>
          <w:lang w:bidi="ar-EG"/>
        </w:rPr>
      </w:pPr>
    </w:p>
    <w:p w:rsidR="00BD7AF4" w:rsidRDefault="00BD7AF4" w:rsidP="00BD7AF4">
      <w:pPr>
        <w:spacing w:after="120"/>
        <w:rPr>
          <w:rFonts w:asciiTheme="majorBidi" w:hAnsiTheme="majorBidi" w:cstheme="majorBidi"/>
          <w:b/>
          <w:bCs/>
          <w:sz w:val="20"/>
          <w:szCs w:val="20"/>
          <w:rtl/>
          <w:lang w:bidi="ar-EG"/>
        </w:rPr>
        <w:sectPr w:rsidR="00BD7AF4" w:rsidSect="00BF7572">
          <w:pgSz w:w="11906" w:h="16838"/>
          <w:pgMar w:top="964" w:right="1021" w:bottom="964" w:left="1021" w:header="709" w:footer="709" w:gutter="0"/>
          <w:cols w:space="708"/>
          <w:bidi/>
          <w:rtlGutter/>
          <w:docGrid w:linePitch="360"/>
        </w:sectPr>
      </w:pPr>
    </w:p>
    <w:p w:rsidR="00BD7AF4" w:rsidRPr="00BD7AF4" w:rsidRDefault="00BD7AF4" w:rsidP="00BD7AF4">
      <w:pPr>
        <w:spacing w:after="120"/>
        <w:rPr>
          <w:rFonts w:asciiTheme="majorBidi" w:hAnsiTheme="majorBidi" w:cstheme="majorBidi"/>
          <w:b/>
          <w:bCs/>
          <w:sz w:val="20"/>
          <w:szCs w:val="20"/>
          <w:rtl/>
        </w:rPr>
      </w:pPr>
      <w:r w:rsidRPr="00BD7AF4">
        <w:rPr>
          <w:rFonts w:asciiTheme="majorBidi" w:hAnsiTheme="majorBidi" w:cstheme="majorBidi"/>
          <w:b/>
          <w:bCs/>
          <w:sz w:val="20"/>
          <w:szCs w:val="20"/>
          <w:rtl/>
        </w:rPr>
        <w:lastRenderedPageBreak/>
        <w:t xml:space="preserve">خلاصة ـــ هذا البحث يبحث في </w:t>
      </w:r>
      <w:r w:rsidRPr="00BD7AF4">
        <w:rPr>
          <w:rFonts w:asciiTheme="majorBidi" w:eastAsia="Calibri" w:hAnsiTheme="majorBidi" w:cstheme="majorBidi"/>
          <w:b/>
          <w:bCs/>
          <w:sz w:val="20"/>
          <w:szCs w:val="20"/>
          <w:rtl/>
        </w:rPr>
        <w:t>عرض كلام العلماء في بيان المراد بالأحرف السبعة</w:t>
      </w:r>
    </w:p>
    <w:p w:rsidR="00BD7AF4" w:rsidRPr="00BD7AF4" w:rsidRDefault="00BD7AF4" w:rsidP="00BD7AF4">
      <w:pPr>
        <w:spacing w:after="120"/>
        <w:rPr>
          <w:rFonts w:asciiTheme="majorBidi" w:hAnsiTheme="majorBidi" w:cstheme="majorBidi"/>
          <w:b/>
          <w:bCs/>
          <w:sz w:val="20"/>
          <w:szCs w:val="20"/>
          <w:rtl/>
          <w:lang w:bidi="ar-EG"/>
        </w:rPr>
      </w:pPr>
      <w:r w:rsidRPr="00BD7AF4">
        <w:rPr>
          <w:rFonts w:asciiTheme="majorBidi" w:hAnsiTheme="majorBidi" w:cstheme="majorBidi"/>
          <w:b/>
          <w:bCs/>
          <w:sz w:val="20"/>
          <w:szCs w:val="20"/>
          <w:rtl/>
        </w:rPr>
        <w:t xml:space="preserve">الكلمات المفتاحية : </w:t>
      </w:r>
      <w:r w:rsidRPr="00BD7AF4">
        <w:rPr>
          <w:rFonts w:asciiTheme="majorBidi" w:hAnsiTheme="majorBidi" w:cstheme="majorBidi"/>
          <w:b/>
          <w:bCs/>
          <w:sz w:val="20"/>
          <w:szCs w:val="20"/>
          <w:rtl/>
          <w:lang w:bidi="ar-EG"/>
        </w:rPr>
        <w:t>العلماء</w:t>
      </w:r>
      <w:r w:rsidRPr="00BD7AF4">
        <w:rPr>
          <w:rFonts w:asciiTheme="majorBidi" w:hAnsiTheme="majorBidi" w:cstheme="majorBidi"/>
          <w:b/>
          <w:bCs/>
          <w:sz w:val="20"/>
          <w:szCs w:val="20"/>
          <w:rtl/>
        </w:rPr>
        <w:t xml:space="preserve"> ،</w:t>
      </w:r>
      <w:r w:rsidRPr="00BD7AF4">
        <w:rPr>
          <w:rFonts w:asciiTheme="majorBidi" w:hAnsiTheme="majorBidi" w:cstheme="majorBidi"/>
          <w:b/>
          <w:bCs/>
          <w:sz w:val="20"/>
          <w:szCs w:val="20"/>
          <w:rtl/>
          <w:lang w:bidi="ar-EG"/>
        </w:rPr>
        <w:t xml:space="preserve"> الأحاديث</w:t>
      </w:r>
      <w:r w:rsidRPr="00BD7AF4">
        <w:rPr>
          <w:rFonts w:asciiTheme="majorBidi" w:hAnsiTheme="majorBidi" w:cstheme="majorBidi"/>
          <w:b/>
          <w:bCs/>
          <w:sz w:val="20"/>
          <w:szCs w:val="20"/>
          <w:rtl/>
        </w:rPr>
        <w:t xml:space="preserve"> ،</w:t>
      </w:r>
      <w:r w:rsidRPr="00BD7AF4">
        <w:rPr>
          <w:rFonts w:asciiTheme="majorBidi" w:hAnsiTheme="majorBidi" w:cstheme="majorBidi"/>
          <w:b/>
          <w:bCs/>
          <w:sz w:val="20"/>
          <w:szCs w:val="20"/>
          <w:rtl/>
          <w:lang w:bidi="ar-EG"/>
        </w:rPr>
        <w:t xml:space="preserve"> القرآن</w:t>
      </w:r>
      <w:r w:rsidRPr="00BD7AF4">
        <w:rPr>
          <w:rFonts w:asciiTheme="majorBidi" w:hAnsiTheme="majorBidi" w:cstheme="majorBidi"/>
          <w:b/>
          <w:bCs/>
          <w:sz w:val="20"/>
          <w:szCs w:val="20"/>
          <w:rtl/>
        </w:rPr>
        <w:t xml:space="preserve"> </w:t>
      </w:r>
    </w:p>
    <w:p w:rsidR="00BD7AF4" w:rsidRPr="00BD7AF4" w:rsidRDefault="00BD7AF4" w:rsidP="00BD7AF4">
      <w:pPr>
        <w:pStyle w:val="ListParagraph"/>
        <w:numPr>
          <w:ilvl w:val="0"/>
          <w:numId w:val="1"/>
        </w:numPr>
        <w:spacing w:after="120" w:line="276" w:lineRule="auto"/>
        <w:jc w:val="center"/>
        <w:rPr>
          <w:rFonts w:asciiTheme="majorBidi" w:hAnsiTheme="majorBidi" w:cstheme="majorBidi"/>
          <w:b/>
          <w:bCs/>
          <w:sz w:val="20"/>
          <w:szCs w:val="20"/>
          <w:rtl/>
        </w:rPr>
      </w:pPr>
      <w:r w:rsidRPr="00BD7AF4">
        <w:rPr>
          <w:rFonts w:asciiTheme="majorBidi" w:hAnsiTheme="majorBidi" w:cstheme="majorBidi"/>
          <w:b/>
          <w:bCs/>
          <w:sz w:val="20"/>
          <w:szCs w:val="20"/>
          <w:rtl/>
        </w:rPr>
        <w:t>المقدمة</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D7AF4">
        <w:rPr>
          <w:rFonts w:asciiTheme="majorBidi" w:eastAsia="Calibri" w:hAnsiTheme="majorBidi" w:cstheme="majorBidi"/>
          <w:b/>
          <w:bCs/>
          <w:sz w:val="20"/>
          <w:szCs w:val="20"/>
          <w:rtl/>
        </w:rPr>
        <w:t>عرض كلام العلماء في بيان المراد بالأحرف السبعة</w:t>
      </w:r>
    </w:p>
    <w:p w:rsidR="00BD7AF4" w:rsidRPr="00BD7AF4" w:rsidRDefault="00BD7AF4" w:rsidP="00BD7AF4">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BD7AF4">
        <w:rPr>
          <w:rFonts w:asciiTheme="majorBidi" w:hAnsiTheme="majorBidi" w:cstheme="majorBidi"/>
          <w:b/>
          <w:bCs/>
          <w:sz w:val="20"/>
          <w:szCs w:val="20"/>
          <w:rtl/>
        </w:rPr>
        <w:t>عنوان المقال</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lang w:bidi="ar-EG"/>
        </w:rPr>
        <w:t>القول الخامس:</w:t>
      </w:r>
      <w:r w:rsidRPr="00BD7AF4">
        <w:rPr>
          <w:rFonts w:asciiTheme="majorBidi" w:hAnsiTheme="majorBidi" w:cstheme="majorBidi"/>
          <w:b/>
          <w:bCs/>
          <w:sz w:val="20"/>
          <w:szCs w:val="20"/>
          <w:rtl/>
          <w:lang w:bidi="ar-EG"/>
        </w:rPr>
        <w:t xml:space="preserve"> الذي يقول: إن المراد سبع لغات، ولكن على أن تكون في الكلمة الواحدة باختلاف الألفاظ واتفاق المعاني، كقول القائل: هلم، وتعال، وأقبل، وإليَّ، ونحوي، وقصدي، وقربي. وهذا هو قول سفيان بن عيينة، وابن جرير الطبري، والطحاوي، ونسبه ابن عبد البر لأكثر العلماء. </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 xml:space="preserve">ودليل هذا القول حديث أبي بكرة أن جبريل </w:t>
      </w:r>
      <w:r w:rsidRPr="00BD7AF4">
        <w:rPr>
          <w:rFonts w:asciiTheme="majorBidi" w:hAnsiTheme="majorBidi" w:cstheme="majorBidi"/>
          <w:b/>
          <w:bCs/>
          <w:position w:val="-4"/>
          <w:sz w:val="20"/>
          <w:szCs w:val="20"/>
          <w:rtl/>
          <w:lang w:bidi="ar-EG"/>
        </w:rPr>
        <w:t>#</w:t>
      </w:r>
      <w:r w:rsidRPr="00BD7AF4">
        <w:rPr>
          <w:rFonts w:asciiTheme="majorBidi" w:hAnsiTheme="majorBidi" w:cstheme="majorBidi"/>
          <w:b/>
          <w:bCs/>
          <w:sz w:val="20"/>
          <w:szCs w:val="20"/>
          <w:rtl/>
          <w:lang w:bidi="ar-EG"/>
        </w:rPr>
        <w:t xml:space="preserve"> قال: </w:t>
      </w:r>
      <w:r w:rsidRPr="00BD7AF4">
        <w:rPr>
          <w:rFonts w:asciiTheme="majorBidi" w:hAnsiTheme="majorBidi" w:cstheme="majorBidi"/>
          <w:b/>
          <w:bCs/>
          <w:color w:val="0000FF"/>
          <w:sz w:val="20"/>
          <w:szCs w:val="20"/>
          <w:rtl/>
          <w:lang w:bidi="ar-EG"/>
        </w:rPr>
        <w:t xml:space="preserve">((يا محمد اقرأ القرآن على حرف، قال ميكائيل </w:t>
      </w:r>
      <w:r w:rsidRPr="00BD7AF4">
        <w:rPr>
          <w:rFonts w:asciiTheme="majorBidi" w:hAnsiTheme="majorBidi" w:cstheme="majorBidi"/>
          <w:b/>
          <w:bCs/>
          <w:color w:val="0000FF"/>
          <w:position w:val="-4"/>
          <w:sz w:val="20"/>
          <w:szCs w:val="20"/>
          <w:rtl/>
          <w:lang w:bidi="ar-EG"/>
        </w:rPr>
        <w:t>#</w:t>
      </w:r>
      <w:r w:rsidRPr="00BD7AF4">
        <w:rPr>
          <w:rFonts w:asciiTheme="majorBidi" w:hAnsiTheme="majorBidi" w:cstheme="majorBidi"/>
          <w:b/>
          <w:bCs/>
          <w:color w:val="0000FF"/>
          <w:sz w:val="20"/>
          <w:szCs w:val="20"/>
          <w:rtl/>
          <w:lang w:bidi="ar-EG"/>
        </w:rPr>
        <w:t>: استزده فاستزاده. قال: اقرأه على حرفين، قال ميكائيل: استزده فاستزاده حتى بلغ سبعة أحرف، قال: كلٌّ شافٍ كافٍ ما لم تختم آية عذاب برحمة، أو آية رحمة بعذاب))</w:t>
      </w:r>
      <w:r w:rsidRPr="00BD7AF4">
        <w:rPr>
          <w:rFonts w:asciiTheme="majorBidi" w:hAnsiTheme="majorBidi" w:cstheme="majorBidi"/>
          <w:b/>
          <w:bCs/>
          <w:sz w:val="20"/>
          <w:szCs w:val="20"/>
          <w:rtl/>
          <w:lang w:bidi="ar-EG"/>
        </w:rPr>
        <w:t xml:space="preserve"> نحو قولك: تعال، وأقبل، وهلم، واذهب، وأسرع، وأعجل. قال الإمام السيوطي في هذا الأثر: إسناده جيد.</w:t>
      </w:r>
    </w:p>
    <w:p w:rsidR="00BD7AF4" w:rsidRPr="00BD7AF4" w:rsidRDefault="00BD7AF4" w:rsidP="00BD7AF4">
      <w:pPr>
        <w:spacing w:before="100" w:beforeAutospacing="1" w:after="100" w:afterAutospacing="1"/>
        <w:jc w:val="lowKashida"/>
        <w:rPr>
          <w:rFonts w:asciiTheme="majorBidi" w:hAnsiTheme="majorBidi" w:cstheme="majorBidi"/>
          <w:b/>
          <w:bCs/>
          <w:color w:val="000080"/>
          <w:sz w:val="20"/>
          <w:szCs w:val="20"/>
          <w:rtl/>
        </w:rPr>
      </w:pPr>
      <w:r w:rsidRPr="00BD7AF4">
        <w:rPr>
          <w:rFonts w:asciiTheme="majorBidi" w:hAnsiTheme="majorBidi" w:cstheme="majorBidi"/>
          <w:b/>
          <w:bCs/>
          <w:color w:val="000080"/>
          <w:sz w:val="20"/>
          <w:szCs w:val="20"/>
          <w:rtl/>
          <w:lang w:bidi="ar-EG"/>
        </w:rPr>
        <w:t xml:space="preserve">الرد على هذا القول: </w:t>
      </w:r>
    </w:p>
    <w:p w:rsidR="00BD7AF4" w:rsidRPr="00BD7AF4" w:rsidRDefault="00BD7AF4" w:rsidP="00BD7AF4">
      <w:pPr>
        <w:spacing w:before="100" w:beforeAutospacing="1" w:after="100" w:afterAutospacing="1"/>
        <w:jc w:val="lowKashida"/>
        <w:rPr>
          <w:rFonts w:asciiTheme="majorBidi" w:hAnsiTheme="majorBidi" w:cstheme="majorBidi"/>
          <w:b/>
          <w:bCs/>
          <w:color w:val="000080"/>
          <w:sz w:val="20"/>
          <w:szCs w:val="20"/>
          <w:rtl/>
        </w:rPr>
      </w:pPr>
      <w:r w:rsidRPr="00BD7AF4">
        <w:rPr>
          <w:rFonts w:asciiTheme="majorBidi" w:hAnsiTheme="majorBidi" w:cstheme="majorBidi"/>
          <w:b/>
          <w:bCs/>
          <w:color w:val="000080"/>
          <w:sz w:val="20"/>
          <w:szCs w:val="20"/>
          <w:rtl/>
          <w:lang w:bidi="ar-EG"/>
        </w:rPr>
        <w:t xml:space="preserve">يرد على القول الخامس بما يلي: </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lang w:bidi="ar-EG"/>
        </w:rPr>
        <w:t>أولًا:</w:t>
      </w:r>
      <w:r w:rsidRPr="00BD7AF4">
        <w:rPr>
          <w:rFonts w:asciiTheme="majorBidi" w:hAnsiTheme="majorBidi" w:cstheme="majorBidi"/>
          <w:b/>
          <w:bCs/>
          <w:sz w:val="20"/>
          <w:szCs w:val="20"/>
          <w:rtl/>
          <w:lang w:bidi="ar-EG"/>
        </w:rPr>
        <w:t xml:space="preserve"> يجاب عن هذا القول بأن الأحاديث، التي احتجوا بها لا تدل على حصر الأحرف في نحو ما ذهبوا إليه، وإنما بين النبي </w:t>
      </w:r>
      <w:r w:rsidRPr="00BD7AF4">
        <w:rPr>
          <w:rFonts w:asciiTheme="majorBidi" w:hAnsiTheme="majorBidi" w:cstheme="majorBidi"/>
          <w:b/>
          <w:bCs/>
          <w:position w:val="-4"/>
          <w:sz w:val="20"/>
          <w:szCs w:val="20"/>
          <w:lang w:bidi="ar-EG"/>
        </w:rPr>
        <w:t></w:t>
      </w:r>
      <w:r w:rsidRPr="00BD7AF4">
        <w:rPr>
          <w:rFonts w:asciiTheme="majorBidi" w:hAnsiTheme="majorBidi" w:cstheme="majorBidi"/>
          <w:b/>
          <w:bCs/>
          <w:sz w:val="20"/>
          <w:szCs w:val="20"/>
          <w:rtl/>
          <w:lang w:bidi="ar-EG"/>
        </w:rPr>
        <w:t xml:space="preserve"> فيها الأحرف السبعة بمثال يوضح نوعية هذه الأحرف، وأنها لا تؤدي إلى تناقض ولا تضاد.</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 xml:space="preserve">قال الإمام ابن عبد البر -رحمه الله-: إنما أراد النبي </w:t>
      </w:r>
      <w:r w:rsidRPr="00BD7AF4">
        <w:rPr>
          <w:rFonts w:asciiTheme="majorBidi" w:hAnsiTheme="majorBidi" w:cstheme="majorBidi"/>
          <w:b/>
          <w:bCs/>
          <w:position w:val="-4"/>
          <w:sz w:val="20"/>
          <w:szCs w:val="20"/>
          <w:lang w:bidi="ar-EG"/>
        </w:rPr>
        <w:t></w:t>
      </w:r>
      <w:r w:rsidRPr="00BD7AF4">
        <w:rPr>
          <w:rFonts w:asciiTheme="majorBidi" w:hAnsiTheme="majorBidi" w:cstheme="majorBidi"/>
          <w:b/>
          <w:bCs/>
          <w:sz w:val="20"/>
          <w:szCs w:val="20"/>
          <w:rtl/>
          <w:lang w:bidi="ar-EG"/>
        </w:rPr>
        <w:t xml:space="preserve"> بهذا ضرب المثل للحروف، التي نزل القرآن عليها أنها معانٍ متفق مفهومها مختلف مسموعها لا يكون في شيء منها معنى وضده، ولا وجه يخالف معنى وجه خلافًا ينفيه ويضاده كالرحمة التي هي خلاف العذاب وضده.</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lang w:bidi="ar-EG"/>
        </w:rPr>
        <w:t>ثانيًا:</w:t>
      </w:r>
      <w:r w:rsidRPr="00BD7AF4">
        <w:rPr>
          <w:rFonts w:asciiTheme="majorBidi" w:hAnsiTheme="majorBidi" w:cstheme="majorBidi"/>
          <w:b/>
          <w:bCs/>
          <w:sz w:val="20"/>
          <w:szCs w:val="20"/>
          <w:rtl/>
          <w:lang w:bidi="ar-EG"/>
        </w:rPr>
        <w:t xml:space="preserve"> يرد هذا القول أيضًا بأن الحكمة من تنزيل القرآن على سبعة أحرف هي التيسير على المكلفين لاختلاف ألسنتهم، ولم يكن أكثر اختلاف العرب في استعمال الألفاظ المترادفة.</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lastRenderedPageBreak/>
        <w:t>بل أكثر اختلافهم إنما كان حاصلًا في اللهجات من فك وإدغام، وفتح وإمالة، وهمز وتخفيف، ونحو ذلك، ولا شك أن المشقة عليهم في هذه الأبواب أعظم من استعمال هلم مكان تعال، أو أقبل.</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كان ما سبق عرضًا لكلام العلماء في المراد من الأحرف السبعة، وبعد أن بينا هذه الأقوال، وبينا أدلتها نقف مع القول الراجح من هذه الأقوال، فنقول: إذا نظرنا في الأخبار الواردة في الأحرف السبعة وتفحصنا ألفاظها لم نجد فيها عبارة صحيحة تبين المراد بالأحرف السبعة، والذي يظهر -والله أعلم- أن ذلك كان لوضوح المراد منها عند السلف بشكل لا يحتاج معه إلى تفسير، وذلك حتى تتحقق الحكمة من الرخصة، فليس من المعقول أن يرخص لهم في شيء مجهول غير معلوم.</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 xml:space="preserve">ولما كانت الحاجة في بداية الأمر إلى إزالة ما وقع في نفوس الصحابة </w:t>
      </w:r>
      <w:r w:rsidRPr="00BD7AF4">
        <w:rPr>
          <w:rFonts w:asciiTheme="majorBidi" w:hAnsiTheme="majorBidi" w:cstheme="majorBidi"/>
          <w:b/>
          <w:bCs/>
          <w:position w:val="-4"/>
          <w:sz w:val="20"/>
          <w:szCs w:val="20"/>
          <w:rtl/>
          <w:lang w:bidi="ar-EG"/>
        </w:rPr>
        <w:t>}</w:t>
      </w:r>
      <w:r w:rsidRPr="00BD7AF4">
        <w:rPr>
          <w:rFonts w:asciiTheme="majorBidi" w:hAnsiTheme="majorBidi" w:cstheme="majorBidi"/>
          <w:b/>
          <w:bCs/>
          <w:sz w:val="20"/>
          <w:szCs w:val="20"/>
          <w:rtl/>
          <w:lang w:bidi="ar-EG"/>
        </w:rPr>
        <w:t xml:space="preserve"> من شبهة وقوع التناقض والاضطراب، أو التصرف في كتاب الله تعالى؛ لأنهم ألفوا أول الأمر قراءة القرآن على وجه واحد، ثم سمع بعضهم بعضًا يقرأ على أوجه متغايرة، لما كانت الحاجة إلى ذلك أزال النبي </w:t>
      </w:r>
      <w:r w:rsidRPr="00BD7AF4">
        <w:rPr>
          <w:rFonts w:asciiTheme="majorBidi" w:hAnsiTheme="majorBidi" w:cstheme="majorBidi"/>
          <w:b/>
          <w:bCs/>
          <w:position w:val="-4"/>
          <w:sz w:val="20"/>
          <w:szCs w:val="20"/>
          <w:lang w:bidi="ar-EG"/>
        </w:rPr>
        <w:t></w:t>
      </w:r>
      <w:r w:rsidRPr="00BD7AF4">
        <w:rPr>
          <w:rFonts w:asciiTheme="majorBidi" w:hAnsiTheme="majorBidi" w:cstheme="majorBidi"/>
          <w:b/>
          <w:bCs/>
          <w:sz w:val="20"/>
          <w:szCs w:val="20"/>
          <w:rtl/>
          <w:lang w:bidi="ar-EG"/>
        </w:rPr>
        <w:t xml:space="preserve"> هذه الخواطر بأن أخبرهم بالرخصة، وضرب لهم مثالًا على أنواع الاختلاف بين هذه الأوجه، وأنه ليس من باب التناقض أو التضاد، بل من باب التنوع، وزيادة المعاني.</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وعند تدبر أوجه القراءات المتواترة التي نقلت إلينا نجد أن اللفظ الواحد قد يقرأ بأوجه متعددة، والناس إلى يومنا هذا يتناكرون عند سماع هذه الوجوه إذا لم يكن لهم سابق علم بها.</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فالذي يظهر -والله أعلم- أن المراد من الأحرف السبعة في الحديث الشريف أوجه متعددة متغايرة من وجوه القراءة، تكون في الكلمة القرآنية الواحدة، بحيث تقرأ على وجه واحد أو أكثر من وجه إلى سبعة أوجه، وهذا هو ما أشار إليه الإمام السيوطي في (الإتقان)، وكذلك هذا القول هو ما صدر الحافظ ابن حجر الكلام به عند شرحه لحديث الأحرف السبعة.</w:t>
      </w:r>
    </w:p>
    <w:p w:rsidR="00BD7AF4" w:rsidRPr="00BD7AF4" w:rsidRDefault="00BD7AF4" w:rsidP="00BD7AF4">
      <w:p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lang w:bidi="ar-EG"/>
        </w:rPr>
        <w:t>ولا يلزم على هذا القول أن يكون في كل كلمة قرآنية أكثر من وجه، بل توجد هذه الوجوه في بعض الكلمات دون بعض، وقد ورد مثل ذلك في سورة "الفرقان"، وقد جمع الحافظ ابن حجر -رحمه الله- في شرحه على (صحيح الإمام البخاري) كل ما ورد من الخلاف في هذه السورة من القراءات المتواترة والشاذة فبلغت مواضع الخلاف فيها مائة وثلاثين موضعًا.</w:t>
      </w:r>
    </w:p>
    <w:p w:rsidR="00BD7AF4" w:rsidRPr="00BD7AF4" w:rsidRDefault="00DE75C7" w:rsidP="00DE75C7">
      <w:pPr>
        <w:pStyle w:val="NormalWeb"/>
        <w:bidi/>
        <w:spacing w:before="0" w:beforeAutospacing="0" w:after="120" w:afterAutospacing="0" w:line="276" w:lineRule="auto"/>
        <w:jc w:val="lowKashida"/>
        <w:rPr>
          <w:rFonts w:asciiTheme="majorBidi" w:hAnsiTheme="majorBidi" w:cstheme="majorBidi"/>
          <w:b/>
          <w:bCs/>
          <w:sz w:val="20"/>
          <w:szCs w:val="20"/>
          <w:rtl/>
        </w:rPr>
      </w:pPr>
      <w:r>
        <w:rPr>
          <w:rFonts w:asciiTheme="majorBidi" w:hAnsiTheme="majorBidi" w:cstheme="majorBidi"/>
          <w:b/>
          <w:bCs/>
          <w:sz w:val="20"/>
          <w:szCs w:val="20"/>
          <w:lang w:bidi="ar-EG"/>
        </w:rPr>
        <w:t xml:space="preserve"> </w:t>
      </w:r>
      <w:r w:rsidR="00BD7AF4" w:rsidRPr="00BD7AF4">
        <w:rPr>
          <w:rFonts w:asciiTheme="majorBidi" w:hAnsiTheme="majorBidi" w:cstheme="majorBidi"/>
          <w:b/>
          <w:bCs/>
          <w:sz w:val="20"/>
          <w:szCs w:val="20"/>
          <w:rtl/>
        </w:rPr>
        <w:t xml:space="preserve">ولكن نقول: إن علماء المسلمين أجمعوا على اشتراط التواتر؛ لثبوت قرآنية أي نص، وبدون التواتر لا تثبت القرآنية، وهذا الموضع وغيره إذا عرض على هذا الشرط لم يبق فيه من القراءات المتواترة ما يزيد على السبعة، ففي الموضع المذكور في آية المائدة قراءتان متواترتان، فقد قرأ حمزة "وعَبُدَ الطاغوتِ" بضم الباء في "عبد"، وخفض الطاغوت فقال: </w:t>
      </w:r>
      <w:r w:rsidR="00BD7AF4" w:rsidRPr="00BD7AF4">
        <w:rPr>
          <w:rFonts w:asciiTheme="majorBidi" w:hAnsiTheme="majorBidi" w:cstheme="majorBidi"/>
          <w:b/>
          <w:bCs/>
          <w:sz w:val="20"/>
          <w:szCs w:val="20"/>
          <w:rtl/>
        </w:rPr>
        <w:lastRenderedPageBreak/>
        <w:t xml:space="preserve">"وعَبُدَ الطاغوت"، وقرأ الباقون: </w:t>
      </w:r>
      <w:r w:rsidR="00BD7AF4" w:rsidRPr="00BD7AF4">
        <w:rPr>
          <w:rFonts w:ascii="Lotus Linotype" w:hAnsi="Lotus Linotype" w:cs="DecoType Thuluth"/>
          <w:color w:val="008000"/>
          <w:sz w:val="20"/>
          <w:szCs w:val="20"/>
          <w:rtl/>
        </w:rPr>
        <w:t>{</w:t>
      </w:r>
      <w:r w:rsidR="00BD7AF4" w:rsidRPr="00BD7AF4">
        <w:rPr>
          <w:rFonts w:ascii="QCF_P118" w:hAnsi="QCF_P118" w:cs="QCF_P118"/>
          <w:color w:val="008000"/>
          <w:sz w:val="20"/>
          <w:szCs w:val="20"/>
          <w:rtl/>
        </w:rPr>
        <w:t>ﮇ ﮈ</w:t>
      </w:r>
      <w:r w:rsidR="00BD7AF4" w:rsidRPr="00BD7AF4">
        <w:rPr>
          <w:rFonts w:ascii="Lotus Linotype" w:hAnsi="Lotus Linotype" w:cs="DecoType Thuluth"/>
          <w:color w:val="008000"/>
          <w:sz w:val="20"/>
          <w:szCs w:val="20"/>
          <w:rtl/>
        </w:rPr>
        <w:t>}</w:t>
      </w:r>
      <w:r w:rsidR="00BD7AF4" w:rsidRPr="00BD7AF4">
        <w:rPr>
          <w:rFonts w:ascii="Lotus Linotype" w:hAnsi="Lotus Linotype" w:cs="AL-Hotham"/>
          <w:sz w:val="20"/>
          <w:szCs w:val="20"/>
          <w:rtl/>
        </w:rPr>
        <w:t xml:space="preserve"> </w:t>
      </w:r>
      <w:r w:rsidR="00BD7AF4" w:rsidRPr="00BD7AF4">
        <w:rPr>
          <w:rFonts w:asciiTheme="majorBidi" w:hAnsiTheme="majorBidi" w:cstheme="majorBidi"/>
          <w:b/>
          <w:bCs/>
          <w:sz w:val="20"/>
          <w:szCs w:val="20"/>
          <w:rtl/>
        </w:rPr>
        <w:t>بفتح الباء من "عبد"، ونصب "الطاغوت".</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BD7AF4">
        <w:rPr>
          <w:rFonts w:asciiTheme="majorBidi" w:hAnsiTheme="majorBidi" w:cstheme="majorBidi"/>
          <w:b/>
          <w:bCs/>
          <w:spacing w:val="4"/>
          <w:sz w:val="20"/>
          <w:szCs w:val="20"/>
          <w:rtl/>
        </w:rPr>
        <w:t xml:space="preserve">ومع اعتبار أن كثيرًا من أفراد الأحرف التي نزل بها القرآن قد نسخ في العرضة الأخيرة للقرآن الكريم، فلا إشكال في عدم وجود كلمة من القرآن تقرأ على سبعة أوجه، فإن أقصى ما ورد من الأوجه المتواترة في موضع من القرآن هو ستة أوجه، ومن أمثلة ذلك قوله تعالى: </w:t>
      </w:r>
      <w:r w:rsidRPr="00BD7AF4">
        <w:rPr>
          <w:rFonts w:ascii="Lotus Linotype" w:hAnsi="Lotus Linotype" w:cs="DecoType Thuluth"/>
          <w:color w:val="008000"/>
          <w:spacing w:val="4"/>
          <w:sz w:val="20"/>
          <w:szCs w:val="20"/>
          <w:rtl/>
        </w:rPr>
        <w:t>{</w:t>
      </w:r>
      <w:r w:rsidRPr="00BD7AF4">
        <w:rPr>
          <w:rFonts w:ascii="QCF_P164" w:hAnsi="QCF_P164" w:cs="QCF_P164"/>
          <w:color w:val="008000"/>
          <w:spacing w:val="4"/>
          <w:sz w:val="20"/>
          <w:szCs w:val="20"/>
          <w:rtl/>
        </w:rPr>
        <w:t>ﮒ ﮓ ﮔ ﮕ ﮖ ﮗ ﮘ</w:t>
      </w:r>
      <w:r w:rsidRPr="00BD7AF4">
        <w:rPr>
          <w:rFonts w:ascii="Lotus Linotype" w:hAnsi="Lotus Linotype" w:cs="DecoType Thuluth"/>
          <w:color w:val="008000"/>
          <w:spacing w:val="4"/>
          <w:sz w:val="20"/>
          <w:szCs w:val="20"/>
          <w:rtl/>
        </w:rPr>
        <w:t>}</w:t>
      </w:r>
      <w:r w:rsidRPr="00BD7AF4">
        <w:rPr>
          <w:rFonts w:ascii="Lotus Linotype" w:hAnsi="Lotus Linotype" w:cs="AL-Hotham"/>
          <w:color w:val="008000"/>
          <w:spacing w:val="4"/>
          <w:sz w:val="20"/>
          <w:szCs w:val="20"/>
          <w:rtl/>
        </w:rPr>
        <w:t xml:space="preserve"> </w:t>
      </w:r>
      <w:r w:rsidRPr="00BD7AF4">
        <w:rPr>
          <w:rFonts w:asciiTheme="majorBidi" w:hAnsiTheme="majorBidi" w:cstheme="majorBidi"/>
          <w:b/>
          <w:bCs/>
          <w:spacing w:val="4"/>
          <w:sz w:val="20"/>
          <w:szCs w:val="20"/>
          <w:rtl/>
        </w:rPr>
        <w:t xml:space="preserve">[الأعراف: 111]، هذه الآية وردت في سورة "الأعراف"، ومحل الشاهد هو كلمة "أرجه"؛ حيث إنه قد وردت فيها ست قراءات متواترة، وهي: </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أولًا:</w:t>
      </w:r>
      <w:r w:rsidRPr="00BD7AF4">
        <w:rPr>
          <w:rFonts w:asciiTheme="majorBidi" w:hAnsiTheme="majorBidi" w:cstheme="majorBidi"/>
          <w:b/>
          <w:bCs/>
          <w:sz w:val="20"/>
          <w:szCs w:val="20"/>
          <w:rtl/>
        </w:rPr>
        <w:t xml:space="preserve"> "ارجه" بدون همز، وبكسر الهاء من غير إشباع، وقد قرأ بذلك قالون.</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ثانيًا:</w:t>
      </w:r>
      <w:r w:rsidRPr="00BD7AF4">
        <w:rPr>
          <w:rFonts w:asciiTheme="majorBidi" w:hAnsiTheme="majorBidi" w:cstheme="majorBidi"/>
          <w:b/>
          <w:bCs/>
          <w:sz w:val="20"/>
          <w:szCs w:val="20"/>
          <w:rtl/>
        </w:rPr>
        <w:t xml:space="preserve"> "ارجهِ" كالوجه السابق لكن مع إشباع كسرة الهاء بوصلها بياء، وقد قرأ بذلك ورش، والكسائي قال: "ارجه".</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ثالثًا:</w:t>
      </w:r>
      <w:r w:rsidRPr="00BD7AF4">
        <w:rPr>
          <w:rFonts w:asciiTheme="majorBidi" w:hAnsiTheme="majorBidi" w:cstheme="majorBidi"/>
          <w:b/>
          <w:bCs/>
          <w:sz w:val="20"/>
          <w:szCs w:val="20"/>
          <w:rtl/>
        </w:rPr>
        <w:t xml:space="preserve"> "أرجئهُ" بالهمز مع ضم الهاء، وإشباع ضمها بوصلها بواو، وبذلك قرأ ابن كثير، وهشام.</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رابعًا:</w:t>
      </w:r>
      <w:r w:rsidRPr="00BD7AF4">
        <w:rPr>
          <w:rFonts w:asciiTheme="majorBidi" w:hAnsiTheme="majorBidi" w:cstheme="majorBidi"/>
          <w:b/>
          <w:bCs/>
          <w:sz w:val="20"/>
          <w:szCs w:val="20"/>
          <w:rtl/>
        </w:rPr>
        <w:t xml:space="preserve"> "أرجئهُ" بالهمز مع ضم الهاء من غير إشباع، وقد قرأ بذلك أبو عمرو، ويعقوب.</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خامسًا:</w:t>
      </w:r>
      <w:r w:rsidRPr="00BD7AF4">
        <w:rPr>
          <w:rFonts w:asciiTheme="majorBidi" w:hAnsiTheme="majorBidi" w:cstheme="majorBidi"/>
          <w:b/>
          <w:bCs/>
          <w:sz w:val="20"/>
          <w:szCs w:val="20"/>
          <w:rtl/>
        </w:rPr>
        <w:t xml:space="preserve"> "أرجئهِ" بالهمز مع كسر الهاء من غير إشباع قرأ بذلك ابن ذكوان.</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color w:val="000080"/>
          <w:sz w:val="20"/>
          <w:szCs w:val="20"/>
          <w:rtl/>
        </w:rPr>
        <w:t>سادسًا:</w:t>
      </w:r>
      <w:r w:rsidRPr="00BD7AF4">
        <w:rPr>
          <w:rFonts w:asciiTheme="majorBidi" w:hAnsiTheme="majorBidi" w:cstheme="majorBidi"/>
          <w:b/>
          <w:bCs/>
          <w:sz w:val="20"/>
          <w:szCs w:val="20"/>
          <w:rtl/>
        </w:rPr>
        <w:t xml:space="preserve"> "أرجهْ" دون الهمز مع سكون الهاء، وهي قراءة الباقين من القراء العشرة. </w:t>
      </w:r>
    </w:p>
    <w:p w:rsidR="00BD7AF4" w:rsidRPr="00BD7AF4" w:rsidRDefault="00BD7AF4" w:rsidP="00BD7AF4">
      <w:pPr>
        <w:pStyle w:val="NormalWeb"/>
        <w:bidi/>
        <w:spacing w:before="0" w:beforeAutospacing="0" w:after="120" w:afterAutospacing="0" w:line="276" w:lineRule="auto"/>
        <w:jc w:val="lowKashida"/>
        <w:rPr>
          <w:rFonts w:asciiTheme="majorBidi" w:hAnsiTheme="majorBidi" w:cstheme="majorBidi"/>
          <w:b/>
          <w:bCs/>
          <w:sz w:val="20"/>
          <w:szCs w:val="20"/>
          <w:rtl/>
        </w:rPr>
      </w:pPr>
      <w:r w:rsidRPr="00BD7AF4">
        <w:rPr>
          <w:rFonts w:asciiTheme="majorBidi" w:hAnsiTheme="majorBidi" w:cstheme="majorBidi"/>
          <w:b/>
          <w:bCs/>
          <w:sz w:val="20"/>
          <w:szCs w:val="20"/>
          <w:rtl/>
        </w:rPr>
        <w:t xml:space="preserve">وبذلك نكون -بحمد الله وفضله- قد أنهينا الكلام على أقوال العلماء في تعيين المراد من الأحرف السبعة، وبينا بحمد الله القول الراجح، وضربنا أمثلة عليه، وبذلك نكون قد أنهينا هذه الجزئية. </w:t>
      </w:r>
    </w:p>
    <w:p w:rsidR="00BD7AF4" w:rsidRPr="00BD7AF4" w:rsidRDefault="00BD7AF4" w:rsidP="00BD7AF4">
      <w:pPr>
        <w:spacing w:after="120"/>
        <w:jc w:val="center"/>
        <w:rPr>
          <w:rFonts w:asciiTheme="majorBidi" w:hAnsiTheme="majorBidi" w:cstheme="majorBidi"/>
          <w:b/>
          <w:bCs/>
          <w:sz w:val="20"/>
          <w:szCs w:val="20"/>
          <w:rtl/>
        </w:rPr>
      </w:pPr>
      <w:r w:rsidRPr="00BD7AF4">
        <w:rPr>
          <w:rFonts w:asciiTheme="majorBidi" w:hAnsiTheme="majorBidi" w:cstheme="majorBidi"/>
          <w:b/>
          <w:bCs/>
          <w:sz w:val="20"/>
          <w:szCs w:val="20"/>
          <w:rtl/>
        </w:rPr>
        <w:t>المصادر والمراجع</w:t>
      </w:r>
    </w:p>
    <w:p w:rsidR="00BD7AF4" w:rsidRPr="00BD7AF4" w:rsidRDefault="00BD7AF4" w:rsidP="00BD7AF4">
      <w:pPr>
        <w:numPr>
          <w:ilvl w:val="0"/>
          <w:numId w:val="2"/>
        </w:num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BD7AF4" w:rsidRPr="00BD7AF4" w:rsidRDefault="00BD7AF4" w:rsidP="00BD7AF4">
      <w:pPr>
        <w:numPr>
          <w:ilvl w:val="0"/>
          <w:numId w:val="2"/>
        </w:num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BD7AF4" w:rsidRPr="00BD7AF4" w:rsidRDefault="00BD7AF4" w:rsidP="00BD7AF4">
      <w:pPr>
        <w:numPr>
          <w:ilvl w:val="0"/>
          <w:numId w:val="2"/>
        </w:num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rPr>
        <w:t>أبي داود، ابن أبي داود، تحقيق: محب الدين واعظ، (المصاحف) ، دار البشائر الإسلامية، 2002م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BD7AF4" w:rsidRPr="00BD7AF4" w:rsidRDefault="00BD7AF4" w:rsidP="00BD7AF4">
      <w:pPr>
        <w:numPr>
          <w:ilvl w:val="0"/>
          <w:numId w:val="2"/>
        </w:num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BD7AF4" w:rsidRPr="00BD7AF4" w:rsidRDefault="00BD7AF4" w:rsidP="00BD7AF4">
      <w:pPr>
        <w:numPr>
          <w:ilvl w:val="0"/>
          <w:numId w:val="2"/>
        </w:numPr>
        <w:spacing w:after="120"/>
        <w:jc w:val="lowKashida"/>
        <w:rPr>
          <w:rFonts w:asciiTheme="majorBidi" w:hAnsiTheme="majorBidi" w:cstheme="majorBidi"/>
          <w:b/>
          <w:bCs/>
          <w:sz w:val="20"/>
          <w:szCs w:val="20"/>
          <w:rtl/>
        </w:rPr>
      </w:pPr>
      <w:r w:rsidRPr="00BD7AF4">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أبو زهرة، محمد أبو زهرة، (المعجزة الكبرى القرآن)  ، دار طيب للنشر، 2003م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BD7AF4" w:rsidRPr="00BD7AF4" w:rsidRDefault="00BD7AF4" w:rsidP="00BD7AF4">
      <w:pPr>
        <w:numPr>
          <w:ilvl w:val="0"/>
          <w:numId w:val="2"/>
        </w:numPr>
        <w:spacing w:after="120"/>
        <w:jc w:val="lowKashida"/>
        <w:rPr>
          <w:rFonts w:asciiTheme="majorBidi" w:hAnsiTheme="majorBidi" w:cstheme="majorBidi"/>
          <w:b/>
          <w:bCs/>
          <w:sz w:val="20"/>
          <w:szCs w:val="20"/>
        </w:rPr>
      </w:pPr>
      <w:r w:rsidRPr="00BD7AF4">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BD7AF4" w:rsidRPr="00BD7AF4" w:rsidRDefault="00BD7AF4">
      <w:pPr>
        <w:rPr>
          <w:sz w:val="20"/>
          <w:szCs w:val="20"/>
          <w:rtl/>
        </w:rPr>
        <w:sectPr w:rsidR="00BD7AF4" w:rsidRPr="00BD7AF4" w:rsidSect="00BD7AF4">
          <w:type w:val="continuous"/>
          <w:pgSz w:w="11906" w:h="16838"/>
          <w:pgMar w:top="964" w:right="1021" w:bottom="964" w:left="1021" w:header="709" w:footer="709" w:gutter="0"/>
          <w:cols w:num="2" w:space="708"/>
          <w:bidi/>
          <w:rtlGutter/>
          <w:docGrid w:linePitch="360"/>
        </w:sectPr>
      </w:pPr>
    </w:p>
    <w:p w:rsidR="009556CB" w:rsidRPr="00BD7AF4" w:rsidRDefault="009556CB">
      <w:pPr>
        <w:rPr>
          <w:sz w:val="20"/>
          <w:szCs w:val="20"/>
        </w:rPr>
      </w:pPr>
    </w:p>
    <w:sectPr w:rsidR="009556CB" w:rsidRPr="00BD7AF4" w:rsidSect="00BD7AF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118">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1068D8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BD7AF4"/>
    <w:rsid w:val="0039305A"/>
    <w:rsid w:val="004C674B"/>
    <w:rsid w:val="00514443"/>
    <w:rsid w:val="009556CB"/>
    <w:rsid w:val="00AC3D75"/>
    <w:rsid w:val="00BD7AF4"/>
    <w:rsid w:val="00BF7572"/>
    <w:rsid w:val="00DE75C7"/>
    <w:rsid w:val="00F87F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F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BD7AF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BD7AF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7AF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408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2013-06-23T09:51:00Z</dcterms:created>
  <dcterms:modified xsi:type="dcterms:W3CDTF">2013-06-26T22:38:00Z</dcterms:modified>
</cp:coreProperties>
</file>