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65E7" w:rsidRDefault="002165E7" w:rsidP="002165E7">
      <w:pPr>
        <w:spacing w:line="240" w:lineRule="auto"/>
        <w:jc w:val="center"/>
        <w:rPr>
          <w:i/>
          <w:iCs/>
          <w:rtl/>
        </w:rPr>
      </w:pPr>
      <w:r w:rsidRPr="00484985">
        <w:rPr>
          <w:rFonts w:asciiTheme="majorBidi" w:eastAsia="Calibri" w:hAnsiTheme="majorBidi" w:cstheme="majorBidi"/>
          <w:i/>
          <w:iCs/>
          <w:sz w:val="48"/>
          <w:szCs w:val="48"/>
          <w:rtl/>
        </w:rPr>
        <w:t>صحف الشيعة التي يعطونها التقديس</w:t>
      </w:r>
    </w:p>
    <w:p w:rsidR="002165E7" w:rsidRPr="00484985" w:rsidRDefault="002165E7" w:rsidP="002165E7">
      <w:pPr>
        <w:spacing w:line="240" w:lineRule="auto"/>
        <w:jc w:val="center"/>
        <w:rPr>
          <w:i/>
          <w:iCs/>
          <w:sz w:val="48"/>
          <w:szCs w:val="48"/>
          <w:rtl/>
        </w:rPr>
      </w:pPr>
      <w:r w:rsidRPr="00484985">
        <w:rPr>
          <w:rFonts w:hint="cs"/>
          <w:i/>
          <w:iCs/>
          <w:sz w:val="48"/>
          <w:szCs w:val="48"/>
          <w:rtl/>
        </w:rPr>
        <w:t>(</w:t>
      </w:r>
      <w:r>
        <w:rPr>
          <w:rFonts w:hint="cs"/>
          <w:i/>
          <w:iCs/>
          <w:sz w:val="48"/>
          <w:szCs w:val="48"/>
          <w:rtl/>
        </w:rPr>
        <w:t>2</w:t>
      </w:r>
      <w:r w:rsidRPr="00484985">
        <w:rPr>
          <w:rFonts w:hint="cs"/>
          <w:i/>
          <w:iCs/>
          <w:sz w:val="48"/>
          <w:szCs w:val="48"/>
          <w:rtl/>
        </w:rPr>
        <w:t>)</w:t>
      </w:r>
    </w:p>
    <w:p w:rsidR="002165E7" w:rsidRPr="00634035" w:rsidRDefault="002165E7" w:rsidP="002165E7">
      <w:pPr>
        <w:pStyle w:val="papersubtitle"/>
        <w:bidi/>
        <w:rPr>
          <w:i/>
          <w:iCs/>
          <w:rtl/>
        </w:rPr>
      </w:pPr>
      <w:r w:rsidRPr="00634035">
        <w:rPr>
          <w:i/>
          <w:iCs/>
          <w:rtl/>
        </w:rPr>
        <w:t xml:space="preserve">بحث  فى </w:t>
      </w:r>
      <w:r w:rsidRPr="00634035">
        <w:rPr>
          <w:rFonts w:hint="cs"/>
          <w:i/>
          <w:iCs/>
          <w:rtl/>
        </w:rPr>
        <w:t>دفاع عن القراَن</w:t>
      </w:r>
    </w:p>
    <w:p w:rsidR="002165E7" w:rsidRPr="009264EA" w:rsidRDefault="002165E7" w:rsidP="00E90E23">
      <w:pPr>
        <w:pStyle w:val="papersubtitle"/>
        <w:bidi/>
        <w:rPr>
          <w:i/>
          <w:iCs/>
          <w:sz w:val="24"/>
          <w:szCs w:val="24"/>
        </w:rPr>
      </w:pPr>
      <w:r w:rsidRPr="009264EA">
        <w:rPr>
          <w:i/>
          <w:iCs/>
          <w:sz w:val="24"/>
          <w:szCs w:val="24"/>
          <w:rtl/>
        </w:rPr>
        <w:t xml:space="preserve">إعداد أ/ </w:t>
      </w:r>
      <w:r w:rsidR="00E90E23" w:rsidRPr="00E90E23">
        <w:rPr>
          <w:rFonts w:hint="cs"/>
          <w:i/>
          <w:iCs/>
          <w:sz w:val="24"/>
          <w:szCs w:val="24"/>
          <w:rtl/>
        </w:rPr>
        <w:t>منى</w:t>
      </w:r>
      <w:r w:rsidR="00E90E23" w:rsidRPr="00E90E23">
        <w:rPr>
          <w:i/>
          <w:iCs/>
          <w:sz w:val="24"/>
          <w:szCs w:val="24"/>
          <w:rtl/>
        </w:rPr>
        <w:t xml:space="preserve"> </w:t>
      </w:r>
      <w:r w:rsidR="00E90E23" w:rsidRPr="00E90E23">
        <w:rPr>
          <w:rFonts w:hint="cs"/>
          <w:i/>
          <w:iCs/>
          <w:sz w:val="24"/>
          <w:szCs w:val="24"/>
          <w:rtl/>
        </w:rPr>
        <w:t>حسن</w:t>
      </w:r>
      <w:r w:rsidR="00E90E23" w:rsidRPr="00E90E23">
        <w:rPr>
          <w:i/>
          <w:iCs/>
          <w:sz w:val="24"/>
          <w:szCs w:val="24"/>
          <w:rtl/>
        </w:rPr>
        <w:t xml:space="preserve"> </w:t>
      </w:r>
      <w:r w:rsidR="00E90E23" w:rsidRPr="00E90E23">
        <w:rPr>
          <w:rFonts w:hint="cs"/>
          <w:i/>
          <w:iCs/>
          <w:sz w:val="24"/>
          <w:szCs w:val="24"/>
          <w:rtl/>
        </w:rPr>
        <w:t>صابر</w:t>
      </w:r>
    </w:p>
    <w:p w:rsidR="002165E7" w:rsidRPr="009264EA" w:rsidRDefault="002165E7" w:rsidP="002165E7">
      <w:pPr>
        <w:pStyle w:val="papersubtitle"/>
        <w:bidi/>
        <w:rPr>
          <w:i/>
          <w:iCs/>
          <w:sz w:val="22"/>
          <w:szCs w:val="22"/>
        </w:rPr>
      </w:pPr>
      <w:r w:rsidRPr="009264EA">
        <w:rPr>
          <w:i/>
          <w:iCs/>
          <w:sz w:val="22"/>
          <w:szCs w:val="22"/>
          <w:rtl/>
        </w:rPr>
        <w:t>قسم</w:t>
      </w:r>
      <w:r>
        <w:rPr>
          <w:rFonts w:hint="cs"/>
          <w:i/>
          <w:iCs/>
          <w:sz w:val="22"/>
          <w:szCs w:val="22"/>
          <w:rtl/>
        </w:rPr>
        <w:t xml:space="preserve"> التفسير وعلوم القراَن</w:t>
      </w:r>
    </w:p>
    <w:p w:rsidR="002165E7" w:rsidRPr="009264EA" w:rsidRDefault="002165E7" w:rsidP="002165E7">
      <w:pPr>
        <w:pStyle w:val="papersubtitle"/>
        <w:bidi/>
        <w:rPr>
          <w:i/>
          <w:iCs/>
          <w:sz w:val="22"/>
          <w:szCs w:val="22"/>
        </w:rPr>
      </w:pPr>
      <w:r w:rsidRPr="009264EA">
        <w:rPr>
          <w:i/>
          <w:iCs/>
          <w:sz w:val="22"/>
          <w:szCs w:val="22"/>
          <w:rtl/>
        </w:rPr>
        <w:t>كلية ال</w:t>
      </w:r>
      <w:r w:rsidRPr="009264EA">
        <w:rPr>
          <w:rFonts w:hint="cs"/>
          <w:i/>
          <w:iCs/>
          <w:sz w:val="22"/>
          <w:szCs w:val="22"/>
          <w:rtl/>
        </w:rPr>
        <w:t>علوم الإسلامية</w:t>
      </w:r>
      <w:r w:rsidRPr="009264EA">
        <w:rPr>
          <w:i/>
          <w:iCs/>
          <w:sz w:val="22"/>
          <w:szCs w:val="22"/>
          <w:rtl/>
        </w:rPr>
        <w:t xml:space="preserve"> – جامعة المدينة العالمية</w:t>
      </w:r>
    </w:p>
    <w:p w:rsidR="002165E7" w:rsidRPr="009264EA" w:rsidRDefault="002165E7" w:rsidP="002165E7">
      <w:pPr>
        <w:pStyle w:val="papersubtitle"/>
        <w:bidi/>
        <w:rPr>
          <w:i/>
          <w:iCs/>
          <w:sz w:val="22"/>
          <w:szCs w:val="22"/>
          <w:rtl/>
        </w:rPr>
      </w:pPr>
      <w:r w:rsidRPr="009264EA">
        <w:rPr>
          <w:i/>
          <w:iCs/>
          <w:sz w:val="22"/>
          <w:szCs w:val="22"/>
          <w:rtl/>
        </w:rPr>
        <w:t>شاه علم – ماليزيا</w:t>
      </w:r>
    </w:p>
    <w:p w:rsidR="002165E7" w:rsidRDefault="00E90E23" w:rsidP="00E90E23">
      <w:pPr>
        <w:spacing w:after="120"/>
        <w:jc w:val="center"/>
        <w:rPr>
          <w:rFonts w:asciiTheme="majorBidi" w:hAnsiTheme="majorBidi" w:cstheme="majorBidi" w:hint="cs"/>
          <w:b/>
          <w:bCs/>
          <w:sz w:val="20"/>
          <w:szCs w:val="20"/>
          <w:rtl/>
          <w:lang w:bidi="ar-EG"/>
        </w:rPr>
      </w:pPr>
      <w:r w:rsidRPr="00E90E23">
        <w:rPr>
          <w:rFonts w:asciiTheme="majorBidi" w:hAnsiTheme="majorBidi" w:cs="AL-Hotham"/>
          <w:i/>
          <w:iCs/>
        </w:rPr>
        <w:t>mona.hassan@mediu.edu.my</w:t>
      </w:r>
    </w:p>
    <w:p w:rsidR="00E90E23" w:rsidRDefault="00E90E23" w:rsidP="00E90E23">
      <w:pPr>
        <w:spacing w:after="120"/>
        <w:jc w:val="center"/>
        <w:rPr>
          <w:rFonts w:asciiTheme="majorBidi" w:hAnsiTheme="majorBidi" w:cstheme="majorBidi" w:hint="cs"/>
          <w:b/>
          <w:bCs/>
          <w:sz w:val="20"/>
          <w:szCs w:val="20"/>
          <w:rtl/>
          <w:lang w:bidi="ar-EG"/>
        </w:rPr>
      </w:pPr>
    </w:p>
    <w:p w:rsidR="00E90E23" w:rsidRPr="00E90E23" w:rsidRDefault="00E90E23" w:rsidP="00E90E23">
      <w:pPr>
        <w:spacing w:after="120"/>
        <w:jc w:val="center"/>
        <w:rPr>
          <w:rFonts w:asciiTheme="majorBidi" w:hAnsiTheme="majorBidi" w:cstheme="majorBidi" w:hint="cs"/>
          <w:b/>
          <w:bCs/>
          <w:sz w:val="20"/>
          <w:szCs w:val="20"/>
          <w:rtl/>
          <w:lang w:bidi="ar-EG"/>
        </w:rPr>
        <w:sectPr w:rsidR="00E90E23" w:rsidRPr="00E90E23" w:rsidSect="00BF7572">
          <w:pgSz w:w="11906" w:h="16838"/>
          <w:pgMar w:top="964" w:right="1021" w:bottom="964" w:left="1021" w:header="709" w:footer="709" w:gutter="0"/>
          <w:cols w:space="708"/>
          <w:bidi/>
          <w:rtlGutter/>
          <w:docGrid w:linePitch="360"/>
        </w:sectPr>
      </w:pPr>
    </w:p>
    <w:p w:rsidR="002165E7" w:rsidRPr="002165E7" w:rsidRDefault="002165E7" w:rsidP="002165E7">
      <w:pPr>
        <w:spacing w:after="120"/>
        <w:rPr>
          <w:rFonts w:asciiTheme="majorBidi" w:hAnsiTheme="majorBidi" w:cstheme="majorBidi"/>
          <w:b/>
          <w:bCs/>
          <w:sz w:val="20"/>
          <w:szCs w:val="20"/>
          <w:rtl/>
        </w:rPr>
      </w:pPr>
      <w:r w:rsidRPr="002165E7">
        <w:rPr>
          <w:rFonts w:asciiTheme="majorBidi" w:hAnsiTheme="majorBidi" w:cstheme="majorBidi"/>
          <w:b/>
          <w:bCs/>
          <w:sz w:val="20"/>
          <w:szCs w:val="20"/>
          <w:rtl/>
        </w:rPr>
        <w:lastRenderedPageBreak/>
        <w:t xml:space="preserve">خلاصة ـــ هذا البحث يبحث في </w:t>
      </w:r>
      <w:r w:rsidRPr="002165E7">
        <w:rPr>
          <w:rFonts w:asciiTheme="majorBidi" w:eastAsia="Calibri" w:hAnsiTheme="majorBidi" w:cstheme="majorBidi"/>
          <w:b/>
          <w:bCs/>
          <w:sz w:val="20"/>
          <w:szCs w:val="20"/>
          <w:rtl/>
        </w:rPr>
        <w:t>صحف الشيعة التي يعطونها التقديس</w:t>
      </w:r>
    </w:p>
    <w:p w:rsidR="002165E7" w:rsidRPr="002165E7" w:rsidRDefault="002165E7" w:rsidP="002165E7">
      <w:pPr>
        <w:spacing w:after="120"/>
        <w:rPr>
          <w:rFonts w:asciiTheme="majorBidi" w:hAnsiTheme="majorBidi" w:cstheme="majorBidi"/>
          <w:b/>
          <w:bCs/>
          <w:sz w:val="20"/>
          <w:szCs w:val="20"/>
          <w:rtl/>
          <w:lang w:bidi="ar-EG"/>
        </w:rPr>
      </w:pPr>
      <w:r w:rsidRPr="002165E7">
        <w:rPr>
          <w:rFonts w:asciiTheme="majorBidi" w:hAnsiTheme="majorBidi" w:cstheme="majorBidi"/>
          <w:b/>
          <w:bCs/>
          <w:sz w:val="20"/>
          <w:szCs w:val="20"/>
          <w:rtl/>
        </w:rPr>
        <w:t xml:space="preserve">الكلمات المفتاحية : </w:t>
      </w:r>
      <w:r w:rsidRPr="002165E7">
        <w:rPr>
          <w:rFonts w:asciiTheme="majorBidi" w:hAnsiTheme="majorBidi" w:cstheme="majorBidi"/>
          <w:b/>
          <w:bCs/>
          <w:spacing w:val="-4"/>
          <w:sz w:val="20"/>
          <w:szCs w:val="20"/>
          <w:rtl/>
        </w:rPr>
        <w:t xml:space="preserve">صورة </w:t>
      </w:r>
      <w:r w:rsidRPr="002165E7">
        <w:rPr>
          <w:rFonts w:asciiTheme="majorBidi" w:hAnsiTheme="majorBidi" w:cstheme="majorBidi"/>
          <w:b/>
          <w:bCs/>
          <w:sz w:val="20"/>
          <w:szCs w:val="20"/>
          <w:rtl/>
        </w:rPr>
        <w:t>،</w:t>
      </w:r>
      <w:r w:rsidRPr="002165E7">
        <w:rPr>
          <w:rFonts w:asciiTheme="majorBidi" w:hAnsiTheme="majorBidi" w:cstheme="majorBidi"/>
          <w:b/>
          <w:bCs/>
          <w:spacing w:val="-4"/>
          <w:sz w:val="20"/>
          <w:szCs w:val="20"/>
          <w:rtl/>
        </w:rPr>
        <w:t xml:space="preserve"> القرآن</w:t>
      </w:r>
      <w:r w:rsidRPr="002165E7">
        <w:rPr>
          <w:rFonts w:asciiTheme="majorBidi" w:hAnsiTheme="majorBidi" w:cstheme="majorBidi"/>
          <w:b/>
          <w:bCs/>
          <w:sz w:val="20"/>
          <w:szCs w:val="20"/>
          <w:rtl/>
        </w:rPr>
        <w:t xml:space="preserve"> ،</w:t>
      </w:r>
      <w:r w:rsidRPr="002165E7">
        <w:rPr>
          <w:rFonts w:asciiTheme="majorBidi" w:hAnsiTheme="majorBidi" w:cstheme="majorBidi"/>
          <w:b/>
          <w:bCs/>
          <w:spacing w:val="-4"/>
          <w:sz w:val="20"/>
          <w:szCs w:val="20"/>
          <w:rtl/>
        </w:rPr>
        <w:t xml:space="preserve"> العقيدة</w:t>
      </w:r>
      <w:r w:rsidRPr="002165E7">
        <w:rPr>
          <w:rFonts w:asciiTheme="majorBidi" w:hAnsiTheme="majorBidi" w:cstheme="majorBidi"/>
          <w:b/>
          <w:bCs/>
          <w:sz w:val="20"/>
          <w:szCs w:val="20"/>
          <w:rtl/>
        </w:rPr>
        <w:t xml:space="preserve"> </w:t>
      </w:r>
    </w:p>
    <w:p w:rsidR="002165E7" w:rsidRPr="002165E7" w:rsidRDefault="002165E7" w:rsidP="002165E7">
      <w:pPr>
        <w:pStyle w:val="ListParagraph"/>
        <w:numPr>
          <w:ilvl w:val="0"/>
          <w:numId w:val="1"/>
        </w:numPr>
        <w:spacing w:after="120" w:line="276" w:lineRule="auto"/>
        <w:jc w:val="center"/>
        <w:rPr>
          <w:rFonts w:asciiTheme="majorBidi" w:hAnsiTheme="majorBidi" w:cstheme="majorBidi"/>
          <w:b/>
          <w:bCs/>
          <w:sz w:val="20"/>
          <w:szCs w:val="20"/>
          <w:rtl/>
        </w:rPr>
      </w:pPr>
      <w:r w:rsidRPr="002165E7">
        <w:rPr>
          <w:rFonts w:asciiTheme="majorBidi" w:hAnsiTheme="majorBidi" w:cstheme="majorBidi"/>
          <w:b/>
          <w:bCs/>
          <w:sz w:val="20"/>
          <w:szCs w:val="20"/>
          <w:rtl/>
        </w:rPr>
        <w:t>المقدمة</w:t>
      </w:r>
    </w:p>
    <w:p w:rsidR="002165E7" w:rsidRPr="002165E7" w:rsidRDefault="002165E7" w:rsidP="002165E7">
      <w:pPr>
        <w:pStyle w:val="NormalWeb"/>
        <w:bidi/>
        <w:spacing w:before="0" w:beforeAutospacing="0" w:after="120" w:afterAutospacing="0" w:line="276" w:lineRule="auto"/>
        <w:jc w:val="lowKashida"/>
        <w:rPr>
          <w:rFonts w:asciiTheme="majorBidi" w:hAnsiTheme="majorBidi" w:cstheme="majorBidi"/>
          <w:b/>
          <w:bCs/>
          <w:sz w:val="20"/>
          <w:szCs w:val="20"/>
          <w:rtl/>
        </w:rPr>
      </w:pPr>
      <w:r w:rsidRPr="002165E7">
        <w:rPr>
          <w:rFonts w:asciiTheme="majorBidi" w:hAnsiTheme="majorBidi" w:cstheme="majorBidi"/>
          <w:b/>
          <w:bCs/>
          <w:sz w:val="20"/>
          <w:szCs w:val="20"/>
          <w:rtl/>
        </w:rPr>
        <w:t xml:space="preserve"> الحمد لله، والصلاة والسلام على سيدنا رسول الله، وعلى آله وصحبه ومن والاه، سوف نتحدث في هذا المقال عن </w:t>
      </w:r>
      <w:r w:rsidRPr="002165E7">
        <w:rPr>
          <w:rFonts w:asciiTheme="majorBidi" w:eastAsia="Calibri" w:hAnsiTheme="majorBidi" w:cstheme="majorBidi"/>
          <w:b/>
          <w:bCs/>
          <w:sz w:val="20"/>
          <w:szCs w:val="20"/>
          <w:rtl/>
        </w:rPr>
        <w:t>صحف الشيعة التي يعطونها التقديس</w:t>
      </w:r>
    </w:p>
    <w:p w:rsidR="002165E7" w:rsidRPr="002165E7" w:rsidRDefault="002165E7" w:rsidP="002165E7">
      <w:pPr>
        <w:pStyle w:val="NormalWeb"/>
        <w:numPr>
          <w:ilvl w:val="0"/>
          <w:numId w:val="1"/>
        </w:numPr>
        <w:bidi/>
        <w:spacing w:before="0" w:beforeAutospacing="0" w:after="120" w:afterAutospacing="0" w:line="276" w:lineRule="auto"/>
        <w:jc w:val="center"/>
        <w:rPr>
          <w:rFonts w:asciiTheme="majorBidi" w:hAnsiTheme="majorBidi" w:cstheme="majorBidi"/>
          <w:b/>
          <w:bCs/>
          <w:sz w:val="20"/>
          <w:szCs w:val="20"/>
          <w:rtl/>
        </w:rPr>
      </w:pPr>
      <w:r w:rsidRPr="002165E7">
        <w:rPr>
          <w:rFonts w:asciiTheme="majorBidi" w:hAnsiTheme="majorBidi" w:cstheme="majorBidi"/>
          <w:b/>
          <w:bCs/>
          <w:sz w:val="20"/>
          <w:szCs w:val="20"/>
          <w:rtl/>
        </w:rPr>
        <w:t>عنوان المقال</w:t>
      </w:r>
    </w:p>
    <w:p w:rsidR="002165E7" w:rsidRPr="002165E7" w:rsidRDefault="002165E7" w:rsidP="002165E7">
      <w:pPr>
        <w:pStyle w:val="NormalWeb"/>
        <w:bidi/>
        <w:spacing w:before="0" w:beforeAutospacing="0" w:after="120" w:afterAutospacing="0" w:line="276" w:lineRule="auto"/>
        <w:jc w:val="lowKashida"/>
        <w:rPr>
          <w:rFonts w:asciiTheme="majorBidi" w:hAnsiTheme="majorBidi" w:cstheme="majorBidi"/>
          <w:b/>
          <w:bCs/>
          <w:sz w:val="20"/>
          <w:szCs w:val="20"/>
        </w:rPr>
      </w:pPr>
      <w:r w:rsidRPr="002165E7">
        <w:rPr>
          <w:rFonts w:asciiTheme="majorBidi" w:hAnsiTheme="majorBidi" w:cstheme="majorBidi"/>
          <w:b/>
          <w:bCs/>
          <w:spacing w:val="-4"/>
          <w:sz w:val="20"/>
          <w:szCs w:val="20"/>
          <w:rtl/>
        </w:rPr>
        <w:t xml:space="preserve">وأورد الإمام البخاري -رحمه الله- في هذا الباب عن عبد العزيز، قال: دخلت أنا وشداد بن معقل على ابن عباس </w:t>
      </w:r>
      <w:r w:rsidRPr="002165E7">
        <w:rPr>
          <w:rFonts w:asciiTheme="majorBidi" w:hAnsiTheme="majorBidi" w:cstheme="majorBidi"/>
          <w:b/>
          <w:bCs/>
          <w:spacing w:val="-4"/>
          <w:position w:val="-4"/>
          <w:sz w:val="20"/>
          <w:szCs w:val="20"/>
          <w:rtl/>
        </w:rPr>
        <w:t>{</w:t>
      </w:r>
      <w:r w:rsidRPr="002165E7">
        <w:rPr>
          <w:rFonts w:asciiTheme="majorBidi" w:hAnsiTheme="majorBidi" w:cstheme="majorBidi"/>
          <w:b/>
          <w:bCs/>
          <w:spacing w:val="-4"/>
          <w:sz w:val="20"/>
          <w:szCs w:val="20"/>
          <w:rtl/>
        </w:rPr>
        <w:t xml:space="preserve"> فقال له شداد بن معقل: أترك النبي </w:t>
      </w:r>
      <w:r w:rsidRPr="002165E7">
        <w:rPr>
          <w:rFonts w:asciiTheme="majorBidi" w:hAnsiTheme="majorBidi" w:cstheme="majorBidi"/>
          <w:b/>
          <w:bCs/>
          <w:spacing w:val="-4"/>
          <w:position w:val="-4"/>
          <w:sz w:val="20"/>
          <w:szCs w:val="20"/>
        </w:rPr>
        <w:t></w:t>
      </w:r>
      <w:r w:rsidRPr="002165E7">
        <w:rPr>
          <w:rFonts w:asciiTheme="majorBidi" w:hAnsiTheme="majorBidi" w:cstheme="majorBidi"/>
          <w:b/>
          <w:bCs/>
          <w:sz w:val="20"/>
          <w:szCs w:val="20"/>
          <w:rtl/>
        </w:rPr>
        <w:t xml:space="preserve"> من شيء؟ قال: ما ترك إلا ما بين الدفتين، قال: ودخلنا على محمد بن الحنفية فسألناه، فقال: ما ترك إلا ما بين الدفتين.</w:t>
      </w:r>
    </w:p>
    <w:p w:rsidR="002165E7" w:rsidRPr="002165E7" w:rsidRDefault="002165E7" w:rsidP="002165E7">
      <w:pPr>
        <w:pStyle w:val="NormalWeb"/>
        <w:bidi/>
        <w:spacing w:before="0" w:beforeAutospacing="0" w:after="120" w:afterAutospacing="0" w:line="276" w:lineRule="auto"/>
        <w:jc w:val="lowKashida"/>
        <w:rPr>
          <w:rFonts w:asciiTheme="majorBidi" w:hAnsiTheme="majorBidi" w:cstheme="majorBidi"/>
          <w:b/>
          <w:bCs/>
          <w:sz w:val="20"/>
          <w:szCs w:val="20"/>
        </w:rPr>
      </w:pPr>
      <w:r w:rsidRPr="002165E7">
        <w:rPr>
          <w:rFonts w:asciiTheme="majorBidi" w:hAnsiTheme="majorBidi" w:cstheme="majorBidi"/>
          <w:b/>
          <w:bCs/>
          <w:sz w:val="20"/>
          <w:szCs w:val="20"/>
          <w:rtl/>
        </w:rPr>
        <w:t xml:space="preserve">وقد علق على ذلك الحافظ ابن حجر -رحمه الله- قائلًا: "وهو شيء اختلقه الروافض؛ لتصحيح دعواهم أن التنصيص على إمامة علي، واستحقاقه الخلافة عند موت النبي </w:t>
      </w:r>
      <w:r w:rsidRPr="002165E7">
        <w:rPr>
          <w:rFonts w:asciiTheme="majorBidi" w:hAnsiTheme="majorBidi" w:cstheme="majorBidi"/>
          <w:b/>
          <w:bCs/>
          <w:position w:val="-4"/>
          <w:sz w:val="20"/>
          <w:szCs w:val="20"/>
        </w:rPr>
        <w:t></w:t>
      </w:r>
      <w:r w:rsidRPr="002165E7">
        <w:rPr>
          <w:rFonts w:asciiTheme="majorBidi" w:hAnsiTheme="majorBidi" w:cstheme="majorBidi"/>
          <w:b/>
          <w:bCs/>
          <w:sz w:val="20"/>
          <w:szCs w:val="20"/>
          <w:rtl/>
        </w:rPr>
        <w:t xml:space="preserve"> كان ثابتًا، أي كان ثابتًا في القرآن، وأن الصحابة كتموه وهي دعوى باطلة؛ لأنهم لم يكتموا: </w:t>
      </w:r>
      <w:r w:rsidRPr="002165E7">
        <w:rPr>
          <w:rFonts w:asciiTheme="majorBidi" w:hAnsiTheme="majorBidi" w:cstheme="majorBidi"/>
          <w:b/>
          <w:bCs/>
          <w:color w:val="0000FF"/>
          <w:sz w:val="20"/>
          <w:szCs w:val="20"/>
          <w:rtl/>
        </w:rPr>
        <w:t>((أنت مني بمنزلة هارون من موسى))،</w:t>
      </w:r>
      <w:r w:rsidRPr="002165E7">
        <w:rPr>
          <w:rFonts w:asciiTheme="majorBidi" w:hAnsiTheme="majorBidi" w:cstheme="majorBidi"/>
          <w:b/>
          <w:bCs/>
          <w:sz w:val="20"/>
          <w:szCs w:val="20"/>
          <w:rtl/>
        </w:rPr>
        <w:t xml:space="preserve"> وغيرها من الظواهر التي قد يتمسك بها من يدعي إمامته.</w:t>
      </w:r>
    </w:p>
    <w:p w:rsidR="002165E7" w:rsidRPr="002165E7" w:rsidRDefault="002165E7" w:rsidP="002165E7">
      <w:pPr>
        <w:pStyle w:val="NormalWeb"/>
        <w:bidi/>
        <w:spacing w:before="0" w:beforeAutospacing="0" w:after="120" w:afterAutospacing="0" w:line="276" w:lineRule="auto"/>
        <w:jc w:val="lowKashida"/>
        <w:rPr>
          <w:rFonts w:asciiTheme="majorBidi" w:hAnsiTheme="majorBidi" w:cstheme="majorBidi"/>
          <w:b/>
          <w:bCs/>
          <w:sz w:val="20"/>
          <w:szCs w:val="20"/>
        </w:rPr>
      </w:pPr>
      <w:r w:rsidRPr="002165E7">
        <w:rPr>
          <w:rFonts w:asciiTheme="majorBidi" w:hAnsiTheme="majorBidi" w:cstheme="majorBidi"/>
          <w:b/>
          <w:bCs/>
          <w:sz w:val="20"/>
          <w:szCs w:val="20"/>
          <w:rtl/>
        </w:rPr>
        <w:t xml:space="preserve">كما لم يكتموا </w:t>
      </w:r>
      <w:r w:rsidRPr="002165E7">
        <w:rPr>
          <w:rFonts w:asciiTheme="majorBidi" w:hAnsiTheme="majorBidi" w:cstheme="majorBidi"/>
          <w:b/>
          <w:bCs/>
          <w:position w:val="-4"/>
          <w:sz w:val="20"/>
          <w:szCs w:val="20"/>
          <w:rtl/>
        </w:rPr>
        <w:t>}</w:t>
      </w:r>
      <w:r w:rsidRPr="002165E7">
        <w:rPr>
          <w:rFonts w:asciiTheme="majorBidi" w:hAnsiTheme="majorBidi" w:cstheme="majorBidi"/>
          <w:b/>
          <w:bCs/>
          <w:sz w:val="20"/>
          <w:szCs w:val="20"/>
          <w:rtl/>
        </w:rPr>
        <w:t xml:space="preserve"> ما يعارض ذلك، أو يخصص عمومه أو يقيد مطلقه، وقد تلطف المصنف في الاستدلال على الرافضة بما أخرجه عن أحد أئمتهم، الذين يدعون إمامته، وهو محمد بن الحنفية وهو ابن علي بن أبي طالب، فلو كان هناك شيء ما يتعلق بأبيه لكان هو أحق الناس بالاطلاع عليه.</w:t>
      </w:r>
    </w:p>
    <w:p w:rsidR="002165E7" w:rsidRPr="002165E7" w:rsidRDefault="002165E7" w:rsidP="002165E7">
      <w:pPr>
        <w:pStyle w:val="NormalWeb"/>
        <w:bidi/>
        <w:spacing w:before="0" w:beforeAutospacing="0" w:after="120" w:afterAutospacing="0" w:line="276" w:lineRule="auto"/>
        <w:jc w:val="lowKashida"/>
        <w:rPr>
          <w:rFonts w:asciiTheme="majorBidi" w:hAnsiTheme="majorBidi" w:cstheme="majorBidi"/>
          <w:b/>
          <w:bCs/>
          <w:sz w:val="20"/>
          <w:szCs w:val="20"/>
        </w:rPr>
      </w:pPr>
      <w:r w:rsidRPr="002165E7">
        <w:rPr>
          <w:rFonts w:asciiTheme="majorBidi" w:hAnsiTheme="majorBidi" w:cstheme="majorBidi"/>
          <w:b/>
          <w:bCs/>
          <w:sz w:val="20"/>
          <w:szCs w:val="20"/>
          <w:rtl/>
        </w:rPr>
        <w:t xml:space="preserve">وكذلك ابن عباس فإنه ابن عم علي </w:t>
      </w:r>
      <w:r w:rsidRPr="002165E7">
        <w:rPr>
          <w:rFonts w:asciiTheme="majorBidi" w:hAnsiTheme="majorBidi" w:cstheme="majorBidi"/>
          <w:b/>
          <w:bCs/>
          <w:position w:val="-4"/>
          <w:sz w:val="20"/>
          <w:szCs w:val="20"/>
          <w:rtl/>
        </w:rPr>
        <w:t>&gt;</w:t>
      </w:r>
      <w:r w:rsidRPr="002165E7">
        <w:rPr>
          <w:rFonts w:asciiTheme="majorBidi" w:hAnsiTheme="majorBidi" w:cstheme="majorBidi"/>
          <w:b/>
          <w:bCs/>
          <w:sz w:val="20"/>
          <w:szCs w:val="20"/>
          <w:rtl/>
        </w:rPr>
        <w:t xml:space="preserve"> وهو أشد الناس له ملازمةً واطلاعًا على حاله" وهنا انتهى كلام الحافظ ابن حجر، وهو كلام في غاية المنطقية وفي غاية المعقولية.</w:t>
      </w:r>
    </w:p>
    <w:p w:rsidR="002165E7" w:rsidRPr="002165E7" w:rsidRDefault="002165E7" w:rsidP="002165E7">
      <w:pPr>
        <w:pStyle w:val="NormalWeb"/>
        <w:bidi/>
        <w:spacing w:before="0" w:beforeAutospacing="0" w:after="120" w:afterAutospacing="0" w:line="276" w:lineRule="auto"/>
        <w:jc w:val="lowKashida"/>
        <w:rPr>
          <w:rFonts w:asciiTheme="majorBidi" w:hAnsiTheme="majorBidi" w:cstheme="majorBidi"/>
          <w:b/>
          <w:bCs/>
          <w:sz w:val="20"/>
          <w:szCs w:val="20"/>
        </w:rPr>
      </w:pPr>
      <w:r w:rsidRPr="002165E7">
        <w:rPr>
          <w:rFonts w:asciiTheme="majorBidi" w:hAnsiTheme="majorBidi" w:cstheme="majorBidi"/>
          <w:b/>
          <w:bCs/>
          <w:sz w:val="20"/>
          <w:szCs w:val="20"/>
          <w:rtl/>
        </w:rPr>
        <w:t>وها هو شيخ الإسلام ابن تيمية -رحمه الله- يؤكد على كل الحقائق السابقة، وينسج على ضوئها قاعدة عامة؛ إذ يقرر اشتهار الشيعة بالكذب، فيقول: والقوم من أكذب الناس في النقليات، ومن أجهل الناس في العقليات؛ ولهذا كانوا عند العلماء أجهل الطوائف، وقد أُدْخِل منهم على الدين من الفساد ما لا يحصيه إلا رب العباد، والنصيرية والإسماعيلية والباطنية من بابهم دخلوا، والكفار والمرتدة بطريقتهم وصلوا.</w:t>
      </w:r>
    </w:p>
    <w:p w:rsidR="002165E7" w:rsidRPr="002165E7" w:rsidRDefault="002165E7" w:rsidP="002165E7">
      <w:pPr>
        <w:pStyle w:val="NormalWeb"/>
        <w:bidi/>
        <w:spacing w:before="0" w:beforeAutospacing="0" w:after="120" w:afterAutospacing="0" w:line="276" w:lineRule="auto"/>
        <w:jc w:val="lowKashida"/>
        <w:rPr>
          <w:rFonts w:asciiTheme="majorBidi" w:hAnsiTheme="majorBidi" w:cstheme="majorBidi"/>
          <w:b/>
          <w:bCs/>
          <w:sz w:val="20"/>
          <w:szCs w:val="20"/>
        </w:rPr>
      </w:pPr>
      <w:r w:rsidRPr="002165E7">
        <w:rPr>
          <w:rFonts w:asciiTheme="majorBidi" w:hAnsiTheme="majorBidi" w:cstheme="majorBidi"/>
          <w:b/>
          <w:bCs/>
          <w:sz w:val="20"/>
          <w:szCs w:val="20"/>
          <w:rtl/>
        </w:rPr>
        <w:t>وفيما يلي أبين بعض الإلزامات العقلية المحرجة للشيعة الإمامية، نقول: لماذا لم يخرج الإمام علي القرآن الذي معه، وإذا كان يخشى من الصحابة؛ لأن السلطة بأيديهم كما يزعمون</w:t>
      </w:r>
      <w:r w:rsidRPr="002165E7">
        <w:rPr>
          <w:rFonts w:asciiTheme="majorBidi" w:hAnsiTheme="majorBidi" w:cstheme="majorBidi"/>
          <w:b/>
          <w:bCs/>
          <w:spacing w:val="-2"/>
          <w:sz w:val="20"/>
          <w:szCs w:val="20"/>
          <w:rtl/>
        </w:rPr>
        <w:t xml:space="preserve">، فلماذا لم يخرجه أيام خلافته؟ ألم يكن وليًّا لأمر المسلمين؟ ألم يكن أميرًا للمؤمنين؟ لماذا لم يخرج القرآن </w:t>
      </w:r>
      <w:r w:rsidRPr="002165E7">
        <w:rPr>
          <w:rFonts w:asciiTheme="majorBidi" w:hAnsiTheme="majorBidi" w:cstheme="majorBidi"/>
          <w:b/>
          <w:bCs/>
          <w:spacing w:val="-2"/>
          <w:sz w:val="20"/>
          <w:szCs w:val="20"/>
          <w:rtl/>
        </w:rPr>
        <w:lastRenderedPageBreak/>
        <w:t>أثناء خلافته وولايته لأمر المسلمين؟ لماذا يتسبب في بقاء الأمة تائهة حائرة؟ ولماذا يتستر على خيانة الخائن، وتحريف المحرف؟ ومن المعلوم أن من أقر خائنًا على خيانته كان خائنًا مثله.</w:t>
      </w:r>
    </w:p>
    <w:p w:rsidR="002165E7" w:rsidRPr="002165E7" w:rsidRDefault="002165E7" w:rsidP="002165E7">
      <w:pPr>
        <w:pStyle w:val="NormalWeb"/>
        <w:bidi/>
        <w:spacing w:before="0" w:beforeAutospacing="0" w:after="120" w:afterAutospacing="0" w:line="276" w:lineRule="auto"/>
        <w:jc w:val="lowKashida"/>
        <w:rPr>
          <w:rFonts w:asciiTheme="majorBidi" w:hAnsiTheme="majorBidi" w:cstheme="majorBidi"/>
          <w:b/>
          <w:bCs/>
          <w:sz w:val="20"/>
          <w:szCs w:val="20"/>
        </w:rPr>
      </w:pPr>
      <w:r w:rsidRPr="002165E7">
        <w:rPr>
          <w:rFonts w:asciiTheme="majorBidi" w:hAnsiTheme="majorBidi" w:cstheme="majorBidi"/>
          <w:b/>
          <w:bCs/>
          <w:sz w:val="20"/>
          <w:szCs w:val="20"/>
          <w:rtl/>
        </w:rPr>
        <w:t xml:space="preserve">لم تجد هذه الزمرة ما تجيب به، إلا ما قالته على لسان عالمهم نعمة الله الجزائري: من أن الإمام علي فضل مجاملة من سبقه على هداية الأمة، وهذا أكثر تهافتًا؛ لأن المجاملة لا تكون للأموات بل تكون للأحياء، أضف إلى ذلك أنه طعن في كتاب الله، وهو من أبلغ القدح في سيدنا علي </w:t>
      </w:r>
      <w:r w:rsidRPr="002165E7">
        <w:rPr>
          <w:rFonts w:asciiTheme="majorBidi" w:hAnsiTheme="majorBidi" w:cstheme="majorBidi"/>
          <w:b/>
          <w:bCs/>
          <w:position w:val="-4"/>
          <w:sz w:val="20"/>
          <w:szCs w:val="20"/>
          <w:rtl/>
        </w:rPr>
        <w:t>&gt;</w:t>
      </w:r>
      <w:r w:rsidRPr="002165E7">
        <w:rPr>
          <w:rFonts w:asciiTheme="majorBidi" w:hAnsiTheme="majorBidi" w:cstheme="majorBidi"/>
          <w:b/>
          <w:bCs/>
          <w:sz w:val="20"/>
          <w:szCs w:val="20"/>
          <w:rtl/>
        </w:rPr>
        <w:t>، وإذا كانت مجاملة علي تبلغ هذا المبلغ، فلماذا لم يقتد الشيعة بإمامهم؟ ولماذا لم يدعوا السب والطعن الذي سود صفحات المجلدات من كتبهم؟ فإما أن يكونوا كاذبين في اعتذارهم، أو مجانبين لخطى إمامهم، وما ندري أي الأمرين يطوح بهما أكثر من الآخر.</w:t>
      </w:r>
    </w:p>
    <w:p w:rsidR="002165E7" w:rsidRPr="002165E7" w:rsidRDefault="002165E7" w:rsidP="002165E7">
      <w:pPr>
        <w:pStyle w:val="NormalWeb"/>
        <w:bidi/>
        <w:spacing w:before="0" w:beforeAutospacing="0" w:after="120" w:afterAutospacing="0" w:line="276" w:lineRule="auto"/>
        <w:jc w:val="lowKashida"/>
        <w:rPr>
          <w:rFonts w:asciiTheme="majorBidi" w:hAnsiTheme="majorBidi" w:cstheme="majorBidi"/>
          <w:b/>
          <w:bCs/>
          <w:sz w:val="20"/>
          <w:szCs w:val="20"/>
        </w:rPr>
      </w:pPr>
      <w:r w:rsidRPr="002165E7">
        <w:rPr>
          <w:rFonts w:asciiTheme="majorBidi" w:hAnsiTheme="majorBidi" w:cstheme="majorBidi"/>
          <w:b/>
          <w:bCs/>
          <w:sz w:val="20"/>
          <w:szCs w:val="20"/>
          <w:rtl/>
        </w:rPr>
        <w:t>تقول روايات الإمامية: إن الأئمة يملكون من وسائل التبليغ ما لا يملكه حتى الأنبياء، فعلي بزعمهم هذا يملك قدرات خارقة، وكان بإمكانه بهذه القدرات أن ينشر القرآن الكامل.</w:t>
      </w:r>
    </w:p>
    <w:p w:rsidR="002165E7" w:rsidRPr="002165E7" w:rsidRDefault="002165E7" w:rsidP="002165E7">
      <w:pPr>
        <w:pStyle w:val="NormalWeb"/>
        <w:bidi/>
        <w:spacing w:before="0" w:beforeAutospacing="0" w:after="120" w:afterAutospacing="0" w:line="276" w:lineRule="auto"/>
        <w:jc w:val="lowKashida"/>
        <w:rPr>
          <w:rFonts w:asciiTheme="majorBidi" w:hAnsiTheme="majorBidi" w:cstheme="majorBidi"/>
          <w:b/>
          <w:bCs/>
          <w:sz w:val="20"/>
          <w:szCs w:val="20"/>
        </w:rPr>
      </w:pPr>
      <w:r w:rsidRPr="002165E7">
        <w:rPr>
          <w:rFonts w:asciiTheme="majorBidi" w:hAnsiTheme="majorBidi" w:cstheme="majorBidi"/>
          <w:b/>
          <w:bCs/>
          <w:sz w:val="20"/>
          <w:szCs w:val="20"/>
          <w:rtl/>
        </w:rPr>
        <w:t xml:space="preserve">فقد قال المجلسي في الباب الذي عقده بعنوان: باب جوامع معجزات علي </w:t>
      </w:r>
      <w:r w:rsidRPr="002165E7">
        <w:rPr>
          <w:rFonts w:asciiTheme="majorBidi" w:hAnsiTheme="majorBidi" w:cstheme="majorBidi"/>
          <w:b/>
          <w:bCs/>
          <w:position w:val="-4"/>
          <w:sz w:val="20"/>
          <w:szCs w:val="20"/>
          <w:rtl/>
        </w:rPr>
        <w:t>&gt;</w:t>
      </w:r>
      <w:r w:rsidRPr="002165E7">
        <w:rPr>
          <w:rFonts w:asciiTheme="majorBidi" w:hAnsiTheme="majorBidi" w:cstheme="majorBidi"/>
          <w:b/>
          <w:bCs/>
          <w:sz w:val="20"/>
          <w:szCs w:val="20"/>
          <w:rtl/>
        </w:rPr>
        <w:t xml:space="preserve"> قال: إن عليًّا مر برجل يخبط هو هو، فقال: يا شاب لو قرأت القرآن لكان خيرًا لك، فقال: إني لا أحسنه ولوددت أن أحسن منه شيئًا، فقال -أي الإمام علي- فقال: ادن مني فدنا منه -أي اقترب منه ذلك الشاب- فتكلم بشيء خفي، فصور الله القرآن كله في قلبه فحفظه كله.</w:t>
      </w:r>
    </w:p>
    <w:p w:rsidR="002165E7" w:rsidRPr="002165E7" w:rsidRDefault="002165E7" w:rsidP="002165E7">
      <w:pPr>
        <w:pStyle w:val="NormalWeb"/>
        <w:bidi/>
        <w:spacing w:before="0" w:beforeAutospacing="0" w:after="120" w:afterAutospacing="0" w:line="276" w:lineRule="auto"/>
        <w:jc w:val="lowKashida"/>
        <w:rPr>
          <w:rFonts w:asciiTheme="majorBidi" w:hAnsiTheme="majorBidi" w:cstheme="majorBidi"/>
          <w:b/>
          <w:bCs/>
          <w:sz w:val="20"/>
          <w:szCs w:val="20"/>
        </w:rPr>
      </w:pPr>
      <w:r w:rsidRPr="002165E7">
        <w:rPr>
          <w:rFonts w:asciiTheme="majorBidi" w:hAnsiTheme="majorBidi" w:cstheme="majorBidi"/>
          <w:b/>
          <w:bCs/>
          <w:sz w:val="20"/>
          <w:szCs w:val="20"/>
          <w:rtl/>
        </w:rPr>
        <w:t xml:space="preserve">أقول معلقًا على هذه الرواية التي ذكرها المجلسي أقول: فعلي </w:t>
      </w:r>
      <w:r w:rsidRPr="002165E7">
        <w:rPr>
          <w:rFonts w:asciiTheme="majorBidi" w:hAnsiTheme="majorBidi" w:cstheme="majorBidi"/>
          <w:b/>
          <w:bCs/>
          <w:position w:val="-4"/>
          <w:sz w:val="20"/>
          <w:szCs w:val="20"/>
          <w:rtl/>
        </w:rPr>
        <w:t>&gt;</w:t>
      </w:r>
      <w:r w:rsidRPr="002165E7">
        <w:rPr>
          <w:rFonts w:asciiTheme="majorBidi" w:hAnsiTheme="majorBidi" w:cstheme="majorBidi"/>
          <w:b/>
          <w:bCs/>
          <w:sz w:val="20"/>
          <w:szCs w:val="20"/>
          <w:rtl/>
        </w:rPr>
        <w:t xml:space="preserve"> يستطيع إبلاغ القرآن بهذه الطريقة السحرية إلى كل من يريد، ويستطيع أن يتخذ كل التدابير الكفيلة بمنع أي محاولة تنال منه؛ لأنه كما تقول أبواب (الكافي): يعلم ما كان وما يكون ولا يخفى عليه شيء، هكذا يزعمون في الإمام علي </w:t>
      </w:r>
    </w:p>
    <w:p w:rsidR="002165E7" w:rsidRPr="002165E7" w:rsidRDefault="002165E7" w:rsidP="002165E7">
      <w:pPr>
        <w:pStyle w:val="NormalWeb"/>
        <w:bidi/>
        <w:spacing w:before="0" w:beforeAutospacing="0" w:after="120" w:afterAutospacing="0" w:line="276" w:lineRule="auto"/>
        <w:jc w:val="lowKashida"/>
        <w:rPr>
          <w:rFonts w:asciiTheme="majorBidi" w:hAnsiTheme="majorBidi" w:cstheme="majorBidi"/>
          <w:b/>
          <w:bCs/>
          <w:sz w:val="20"/>
          <w:szCs w:val="20"/>
        </w:rPr>
      </w:pPr>
      <w:r w:rsidRPr="002165E7">
        <w:rPr>
          <w:rFonts w:asciiTheme="majorBidi" w:hAnsiTheme="majorBidi" w:cstheme="majorBidi"/>
          <w:b/>
          <w:bCs/>
          <w:sz w:val="20"/>
          <w:szCs w:val="20"/>
          <w:rtl/>
        </w:rPr>
        <w:t>كما أن الوصول إلى قتله بغير رضاه واختياره أمر ممتنع؛ لأن الأئمة كما تقول أبواب (الكافي) أيضًا: يعلمون متى يموتون ولا يموتون إلا باختيارهم، إذا كان الأمر كذلك فلماذا لم يبلغ سيدنا علي القرآن الخاص به، بالرغم من امتلاكه لكل هذه القدرات الخارقة.</w:t>
      </w:r>
    </w:p>
    <w:p w:rsidR="002165E7" w:rsidRPr="002165E7" w:rsidRDefault="002165E7" w:rsidP="002165E7">
      <w:pPr>
        <w:pStyle w:val="NormalWeb"/>
        <w:bidi/>
        <w:spacing w:before="0" w:beforeAutospacing="0" w:after="120" w:afterAutospacing="0" w:line="276" w:lineRule="auto"/>
        <w:jc w:val="lowKashida"/>
        <w:rPr>
          <w:rFonts w:asciiTheme="majorBidi" w:hAnsiTheme="majorBidi" w:cstheme="majorBidi"/>
          <w:b/>
          <w:bCs/>
          <w:sz w:val="20"/>
          <w:szCs w:val="20"/>
        </w:rPr>
      </w:pPr>
      <w:r w:rsidRPr="002165E7">
        <w:rPr>
          <w:rFonts w:asciiTheme="majorBidi" w:hAnsiTheme="majorBidi" w:cstheme="majorBidi"/>
          <w:b/>
          <w:bCs/>
          <w:sz w:val="20"/>
          <w:szCs w:val="20"/>
          <w:rtl/>
        </w:rPr>
        <w:t xml:space="preserve">جاء في بعض رواياتهم أن أمير المؤمنين قال: لو ثني لي الوسادة، وعرف لي حقي لأخرجت لهم مصحفًا كتبته، وأملاه علي رسول الله </w:t>
      </w:r>
      <w:r w:rsidRPr="002165E7">
        <w:rPr>
          <w:rFonts w:asciiTheme="majorBidi" w:hAnsiTheme="majorBidi" w:cstheme="majorBidi"/>
          <w:b/>
          <w:bCs/>
          <w:position w:val="-4"/>
          <w:sz w:val="20"/>
          <w:szCs w:val="20"/>
        </w:rPr>
        <w:t></w:t>
      </w:r>
      <w:r w:rsidRPr="002165E7">
        <w:rPr>
          <w:rFonts w:asciiTheme="majorBidi" w:hAnsiTheme="majorBidi" w:cstheme="majorBidi"/>
          <w:b/>
          <w:bCs/>
          <w:sz w:val="20"/>
          <w:szCs w:val="20"/>
          <w:rtl/>
        </w:rPr>
        <w:t xml:space="preserve"> ونقف عند قوله: لو ثني لي الوسادة، هذه الجملة كناية عن توليه الحكم، كما قرر ذلك المجلسي.</w:t>
      </w:r>
    </w:p>
    <w:p w:rsidR="002165E7" w:rsidRPr="002165E7" w:rsidRDefault="002165E7" w:rsidP="002165E7">
      <w:pPr>
        <w:pStyle w:val="NormalWeb"/>
        <w:bidi/>
        <w:spacing w:before="0" w:beforeAutospacing="0" w:after="120" w:afterAutospacing="0" w:line="276" w:lineRule="auto"/>
        <w:jc w:val="lowKashida"/>
        <w:rPr>
          <w:rFonts w:asciiTheme="majorBidi" w:hAnsiTheme="majorBidi" w:cstheme="majorBidi"/>
          <w:b/>
          <w:bCs/>
          <w:sz w:val="20"/>
          <w:szCs w:val="20"/>
        </w:rPr>
      </w:pPr>
      <w:r w:rsidRPr="002165E7">
        <w:rPr>
          <w:rFonts w:asciiTheme="majorBidi" w:hAnsiTheme="majorBidi" w:cstheme="majorBidi"/>
          <w:b/>
          <w:bCs/>
          <w:sz w:val="20"/>
          <w:szCs w:val="20"/>
          <w:rtl/>
        </w:rPr>
        <w:t xml:space="preserve">نقول: إن عليًّا قد تولى الخلافة بعد ذلك، وثنيت له الوسادة، فلماذا لم يخرج القرآن الخاص به؟ والعجيب أننا نجد هذه الطائفة التي نقلت هذا الكفر، قد نقلت أيضًا ما يثبت خلافه، فقد روى ابن طاوس وهو من كبار شيوخ الشيعة الإمامية، روى أن عثمان جمع المصحف برأي مولانا علي </w:t>
      </w:r>
      <w:r w:rsidRPr="002165E7">
        <w:rPr>
          <w:rFonts w:asciiTheme="majorBidi" w:hAnsiTheme="majorBidi" w:cstheme="majorBidi"/>
          <w:b/>
          <w:bCs/>
          <w:sz w:val="20"/>
          <w:szCs w:val="20"/>
          <w:rtl/>
        </w:rPr>
        <w:lastRenderedPageBreak/>
        <w:t>بن أبي طالب، هذا الكلام وارد في كتاب (تاريخ القرآن) للزنجاني وهو مصدر معتمد من مصادر الشيعة الإمامية.</w:t>
      </w:r>
    </w:p>
    <w:p w:rsidR="002165E7" w:rsidRPr="002165E7" w:rsidRDefault="002165E7" w:rsidP="002165E7">
      <w:pPr>
        <w:pStyle w:val="NormalWeb"/>
        <w:bidi/>
        <w:spacing w:before="0" w:beforeAutospacing="0" w:after="120" w:afterAutospacing="0" w:line="276" w:lineRule="auto"/>
        <w:jc w:val="lowKashida"/>
        <w:rPr>
          <w:rFonts w:asciiTheme="majorBidi" w:hAnsiTheme="majorBidi" w:cstheme="majorBidi"/>
          <w:b/>
          <w:bCs/>
          <w:sz w:val="20"/>
          <w:szCs w:val="20"/>
        </w:rPr>
      </w:pPr>
      <w:r w:rsidRPr="002165E7">
        <w:rPr>
          <w:rFonts w:asciiTheme="majorBidi" w:hAnsiTheme="majorBidi" w:cstheme="majorBidi"/>
          <w:b/>
          <w:bCs/>
          <w:sz w:val="20"/>
          <w:szCs w:val="20"/>
          <w:rtl/>
        </w:rPr>
        <w:t>روى ابن طاوس أن عثمان جمع المصحف برأي مولانا علي بن أبي طالب، أقول: هذه الرواية تنقض ما افتراه الشيعة الإمامية عبر القرون؛ لأنه يتفق مع إجماع الأمة وهو اعتراف منهم وإقرار، واعتراف المخالف أشد وقعًا في النفس من اعتراف الموافق.</w:t>
      </w:r>
    </w:p>
    <w:p w:rsidR="002165E7" w:rsidRPr="002165E7" w:rsidRDefault="002165E7" w:rsidP="002165E7">
      <w:pPr>
        <w:spacing w:after="120"/>
        <w:jc w:val="center"/>
        <w:rPr>
          <w:rFonts w:asciiTheme="majorBidi" w:hAnsiTheme="majorBidi" w:cstheme="majorBidi"/>
          <w:b/>
          <w:bCs/>
          <w:sz w:val="20"/>
          <w:szCs w:val="20"/>
          <w:rtl/>
        </w:rPr>
      </w:pPr>
      <w:r w:rsidRPr="002165E7">
        <w:rPr>
          <w:rFonts w:asciiTheme="majorBidi" w:hAnsiTheme="majorBidi" w:cstheme="majorBidi"/>
          <w:b/>
          <w:bCs/>
          <w:sz w:val="20"/>
          <w:szCs w:val="20"/>
          <w:rtl/>
        </w:rPr>
        <w:t>المصادر والمراجع</w:t>
      </w:r>
    </w:p>
    <w:p w:rsidR="002165E7" w:rsidRPr="002165E7" w:rsidRDefault="002165E7" w:rsidP="002165E7">
      <w:pPr>
        <w:numPr>
          <w:ilvl w:val="0"/>
          <w:numId w:val="2"/>
        </w:numPr>
        <w:spacing w:after="120"/>
        <w:jc w:val="lowKashida"/>
        <w:rPr>
          <w:rFonts w:asciiTheme="majorBidi" w:hAnsiTheme="majorBidi" w:cstheme="majorBidi"/>
          <w:b/>
          <w:bCs/>
          <w:sz w:val="20"/>
          <w:szCs w:val="20"/>
          <w:rtl/>
        </w:rPr>
      </w:pPr>
      <w:r w:rsidRPr="002165E7">
        <w:rPr>
          <w:rFonts w:asciiTheme="majorBidi" w:hAnsiTheme="majorBidi" w:cstheme="majorBidi"/>
          <w:b/>
          <w:bCs/>
          <w:sz w:val="20"/>
          <w:szCs w:val="20"/>
          <w:rtl/>
        </w:rPr>
        <w:t>السيوطي، جلال الدين السيوطي، تحقيق: محمد أبو الفضل إبراهيم،  (الإتقان في علوم القرآن) ، الهيئة المصرية العامة للكتاب، 1984م</w:t>
      </w:r>
    </w:p>
    <w:p w:rsidR="002165E7" w:rsidRPr="002165E7" w:rsidRDefault="002165E7" w:rsidP="002165E7">
      <w:pPr>
        <w:numPr>
          <w:ilvl w:val="0"/>
          <w:numId w:val="2"/>
        </w:numPr>
        <w:spacing w:after="120"/>
        <w:jc w:val="lowKashida"/>
        <w:rPr>
          <w:rFonts w:asciiTheme="majorBidi" w:hAnsiTheme="majorBidi" w:cstheme="majorBidi"/>
          <w:b/>
          <w:bCs/>
          <w:sz w:val="20"/>
          <w:szCs w:val="20"/>
          <w:rtl/>
        </w:rPr>
      </w:pPr>
      <w:r w:rsidRPr="002165E7">
        <w:rPr>
          <w:rFonts w:asciiTheme="majorBidi" w:hAnsiTheme="majorBidi" w:cstheme="majorBidi"/>
          <w:b/>
          <w:bCs/>
          <w:sz w:val="20"/>
          <w:szCs w:val="20"/>
          <w:rtl/>
        </w:rPr>
        <w:t>الزركشي، بدر الدين الزركشي، تحقيق: محمد أبو الفضل إبراهيم،  (البرهان في علوم القرآن) ، بيروت، نشر دار المعرفة، 2001م</w:t>
      </w:r>
    </w:p>
    <w:p w:rsidR="002165E7" w:rsidRPr="002165E7" w:rsidRDefault="002165E7" w:rsidP="002165E7">
      <w:pPr>
        <w:numPr>
          <w:ilvl w:val="0"/>
          <w:numId w:val="2"/>
        </w:numPr>
        <w:spacing w:after="120"/>
        <w:jc w:val="lowKashida"/>
        <w:rPr>
          <w:rFonts w:asciiTheme="majorBidi" w:hAnsiTheme="majorBidi" w:cstheme="majorBidi"/>
          <w:b/>
          <w:bCs/>
          <w:sz w:val="20"/>
          <w:szCs w:val="20"/>
        </w:rPr>
      </w:pPr>
      <w:r w:rsidRPr="002165E7">
        <w:rPr>
          <w:rFonts w:asciiTheme="majorBidi" w:hAnsiTheme="majorBidi" w:cstheme="majorBidi"/>
          <w:b/>
          <w:bCs/>
          <w:sz w:val="20"/>
          <w:szCs w:val="20"/>
          <w:rtl/>
        </w:rPr>
        <w:t>الدجوي، يوسف أحمد نصر الدجوي، (الجواب المنيف في الرد على مدعي التحريف) ، القاهرة، مطبعة القاهرة، 1969م</w:t>
      </w:r>
    </w:p>
    <w:p w:rsidR="002165E7" w:rsidRPr="002165E7" w:rsidRDefault="002165E7" w:rsidP="002165E7">
      <w:pPr>
        <w:numPr>
          <w:ilvl w:val="0"/>
          <w:numId w:val="2"/>
        </w:numPr>
        <w:spacing w:after="120"/>
        <w:jc w:val="lowKashida"/>
        <w:rPr>
          <w:rFonts w:asciiTheme="majorBidi" w:hAnsiTheme="majorBidi" w:cstheme="majorBidi"/>
          <w:b/>
          <w:bCs/>
          <w:sz w:val="20"/>
          <w:szCs w:val="20"/>
        </w:rPr>
      </w:pPr>
      <w:r w:rsidRPr="002165E7">
        <w:rPr>
          <w:rFonts w:asciiTheme="majorBidi" w:hAnsiTheme="majorBidi" w:cstheme="majorBidi"/>
          <w:b/>
          <w:bCs/>
          <w:sz w:val="20"/>
          <w:szCs w:val="20"/>
          <w:rtl/>
        </w:rPr>
        <w:t>الجزيري، محمد شوقي عبد الرحمن الجزيري، (أدلة اليقين في الرد على مطاعن المبشرين والملحدين) ،دار الإرشاد للطباعة والنشر، 1416هـ</w:t>
      </w:r>
    </w:p>
    <w:p w:rsidR="002165E7" w:rsidRPr="002165E7" w:rsidRDefault="002165E7" w:rsidP="002165E7">
      <w:pPr>
        <w:numPr>
          <w:ilvl w:val="0"/>
          <w:numId w:val="2"/>
        </w:numPr>
        <w:spacing w:after="120"/>
        <w:jc w:val="lowKashida"/>
        <w:rPr>
          <w:rFonts w:asciiTheme="majorBidi" w:hAnsiTheme="majorBidi" w:cstheme="majorBidi"/>
          <w:b/>
          <w:bCs/>
          <w:sz w:val="20"/>
          <w:szCs w:val="20"/>
          <w:rtl/>
        </w:rPr>
      </w:pPr>
      <w:r w:rsidRPr="002165E7">
        <w:rPr>
          <w:rFonts w:asciiTheme="majorBidi" w:hAnsiTheme="majorBidi" w:cstheme="majorBidi"/>
          <w:b/>
          <w:bCs/>
          <w:sz w:val="20"/>
          <w:szCs w:val="20"/>
          <w:rtl/>
        </w:rPr>
        <w:lastRenderedPageBreak/>
        <w:t>أبي داود، ابن أبي داود، تحقيق: محب الدين واعظ، (المصاحف) ، دار البشائر الإسلامية، 2002م</w:t>
      </w:r>
    </w:p>
    <w:p w:rsidR="002165E7" w:rsidRPr="002165E7" w:rsidRDefault="002165E7" w:rsidP="002165E7">
      <w:pPr>
        <w:numPr>
          <w:ilvl w:val="0"/>
          <w:numId w:val="2"/>
        </w:numPr>
        <w:spacing w:after="120"/>
        <w:jc w:val="lowKashida"/>
        <w:rPr>
          <w:rFonts w:asciiTheme="majorBidi" w:hAnsiTheme="majorBidi" w:cstheme="majorBidi"/>
          <w:b/>
          <w:bCs/>
          <w:sz w:val="20"/>
          <w:szCs w:val="20"/>
        </w:rPr>
      </w:pPr>
      <w:r w:rsidRPr="002165E7">
        <w:rPr>
          <w:rFonts w:asciiTheme="majorBidi" w:hAnsiTheme="majorBidi" w:cstheme="majorBidi"/>
          <w:b/>
          <w:bCs/>
          <w:sz w:val="20"/>
          <w:szCs w:val="20"/>
          <w:rtl/>
        </w:rPr>
        <w:t>الباقلاني، القاضي أبي بكر محمد الباقلاني، (نكت الانتصار لنقل القرآن) ، الإسكندرية، منشأة المعارف، 1971م</w:t>
      </w:r>
    </w:p>
    <w:p w:rsidR="002165E7" w:rsidRPr="002165E7" w:rsidRDefault="002165E7" w:rsidP="002165E7">
      <w:pPr>
        <w:numPr>
          <w:ilvl w:val="0"/>
          <w:numId w:val="2"/>
        </w:numPr>
        <w:spacing w:after="120"/>
        <w:jc w:val="lowKashida"/>
        <w:rPr>
          <w:rFonts w:asciiTheme="majorBidi" w:hAnsiTheme="majorBidi" w:cstheme="majorBidi"/>
          <w:b/>
          <w:bCs/>
          <w:sz w:val="20"/>
          <w:szCs w:val="20"/>
          <w:rtl/>
        </w:rPr>
      </w:pPr>
      <w:r w:rsidRPr="002165E7">
        <w:rPr>
          <w:rFonts w:asciiTheme="majorBidi" w:hAnsiTheme="majorBidi" w:cstheme="majorBidi"/>
          <w:b/>
          <w:bCs/>
          <w:sz w:val="20"/>
          <w:szCs w:val="20"/>
          <w:rtl/>
        </w:rPr>
        <w:t>الزرقاني، محمد عبد العظيم الزرقاني، (مناهل العرفان في علوم القرآن)  ، بيروت، دار الفكر، 1996م</w:t>
      </w:r>
    </w:p>
    <w:p w:rsidR="002165E7" w:rsidRPr="002165E7" w:rsidRDefault="002165E7" w:rsidP="002165E7">
      <w:pPr>
        <w:numPr>
          <w:ilvl w:val="0"/>
          <w:numId w:val="2"/>
        </w:numPr>
        <w:spacing w:after="120"/>
        <w:jc w:val="lowKashida"/>
        <w:rPr>
          <w:rFonts w:asciiTheme="majorBidi" w:hAnsiTheme="majorBidi" w:cstheme="majorBidi"/>
          <w:b/>
          <w:bCs/>
          <w:sz w:val="20"/>
          <w:szCs w:val="20"/>
          <w:rtl/>
        </w:rPr>
      </w:pPr>
      <w:r w:rsidRPr="002165E7">
        <w:rPr>
          <w:rFonts w:asciiTheme="majorBidi" w:hAnsiTheme="majorBidi" w:cstheme="majorBidi"/>
          <w:b/>
          <w:bCs/>
          <w:sz w:val="20"/>
          <w:szCs w:val="20"/>
          <w:rtl/>
        </w:rPr>
        <w:t>أبو شهبة، محمد بن محمد أبو شهبة،  (المدخل لدراسة القرآن الكريم) ، الرياض، نشر دار اللواء، 1987م</w:t>
      </w:r>
    </w:p>
    <w:p w:rsidR="002165E7" w:rsidRPr="002165E7" w:rsidRDefault="002165E7" w:rsidP="002165E7">
      <w:pPr>
        <w:numPr>
          <w:ilvl w:val="0"/>
          <w:numId w:val="2"/>
        </w:numPr>
        <w:spacing w:after="120"/>
        <w:jc w:val="lowKashida"/>
        <w:rPr>
          <w:rFonts w:asciiTheme="majorBidi" w:hAnsiTheme="majorBidi" w:cstheme="majorBidi"/>
          <w:b/>
          <w:bCs/>
          <w:sz w:val="20"/>
          <w:szCs w:val="20"/>
        </w:rPr>
      </w:pPr>
      <w:r w:rsidRPr="002165E7">
        <w:rPr>
          <w:rFonts w:asciiTheme="majorBidi" w:hAnsiTheme="majorBidi" w:cstheme="majorBidi"/>
          <w:b/>
          <w:bCs/>
          <w:sz w:val="20"/>
          <w:szCs w:val="20"/>
          <w:rtl/>
        </w:rPr>
        <w:t>بن حزم، أبو محمد علي بن أحمد بن حزم، (الفصل في الملل والأهواء والنحل) ، بيروت، دار الجيل،1405هـ</w:t>
      </w:r>
    </w:p>
    <w:p w:rsidR="002165E7" w:rsidRPr="002165E7" w:rsidRDefault="002165E7" w:rsidP="002165E7">
      <w:pPr>
        <w:numPr>
          <w:ilvl w:val="0"/>
          <w:numId w:val="2"/>
        </w:numPr>
        <w:spacing w:after="120"/>
        <w:jc w:val="lowKashida"/>
        <w:rPr>
          <w:rFonts w:asciiTheme="majorBidi" w:hAnsiTheme="majorBidi" w:cstheme="majorBidi"/>
          <w:b/>
          <w:bCs/>
          <w:sz w:val="20"/>
          <w:szCs w:val="20"/>
        </w:rPr>
      </w:pPr>
      <w:r w:rsidRPr="002165E7">
        <w:rPr>
          <w:rFonts w:asciiTheme="majorBidi" w:hAnsiTheme="majorBidi" w:cstheme="majorBidi"/>
          <w:b/>
          <w:bCs/>
          <w:sz w:val="20"/>
          <w:szCs w:val="20"/>
          <w:rtl/>
        </w:rPr>
        <w:t>أبو زهرة، محمد أبو زهرة، (المعجزة الكبرى القرآن)  ، دار طيب للنشر، 2003م</w:t>
      </w:r>
    </w:p>
    <w:p w:rsidR="002165E7" w:rsidRPr="002165E7" w:rsidRDefault="002165E7" w:rsidP="002165E7">
      <w:pPr>
        <w:numPr>
          <w:ilvl w:val="0"/>
          <w:numId w:val="2"/>
        </w:numPr>
        <w:spacing w:after="120"/>
        <w:jc w:val="lowKashida"/>
        <w:rPr>
          <w:rFonts w:asciiTheme="majorBidi" w:hAnsiTheme="majorBidi" w:cstheme="majorBidi"/>
          <w:b/>
          <w:bCs/>
          <w:sz w:val="20"/>
          <w:szCs w:val="20"/>
        </w:rPr>
      </w:pPr>
      <w:r w:rsidRPr="002165E7">
        <w:rPr>
          <w:rFonts w:asciiTheme="majorBidi" w:hAnsiTheme="majorBidi" w:cstheme="majorBidi"/>
          <w:b/>
          <w:bCs/>
          <w:sz w:val="20"/>
          <w:szCs w:val="20"/>
          <w:rtl/>
        </w:rPr>
        <w:t>مزروعة، حاتم محمد منصور مزروعة،   (دعاوى تحريف القرآن الكريم) ،  طبعة جامعة الأزهر، 2007م</w:t>
      </w:r>
    </w:p>
    <w:p w:rsidR="002165E7" w:rsidRPr="002165E7" w:rsidRDefault="002165E7" w:rsidP="002165E7">
      <w:pPr>
        <w:numPr>
          <w:ilvl w:val="0"/>
          <w:numId w:val="2"/>
        </w:numPr>
        <w:spacing w:after="120"/>
        <w:jc w:val="lowKashida"/>
        <w:rPr>
          <w:rFonts w:asciiTheme="majorBidi" w:hAnsiTheme="majorBidi" w:cstheme="majorBidi"/>
          <w:b/>
          <w:bCs/>
          <w:sz w:val="20"/>
          <w:szCs w:val="20"/>
        </w:rPr>
      </w:pPr>
      <w:r w:rsidRPr="002165E7">
        <w:rPr>
          <w:rFonts w:asciiTheme="majorBidi" w:hAnsiTheme="majorBidi" w:cstheme="majorBidi"/>
          <w:b/>
          <w:bCs/>
          <w:sz w:val="20"/>
          <w:szCs w:val="20"/>
          <w:rtl/>
        </w:rPr>
        <w:t>الباقلاني، أبو بكر بن الطيب الباقلاني، تحقيق: عماد الدين حيدر،  (إعجاز القرآن) ، مؤسسة الكتب الثقافية، 1991م</w:t>
      </w:r>
    </w:p>
    <w:p w:rsidR="002165E7" w:rsidRDefault="002165E7">
      <w:pPr>
        <w:rPr>
          <w:rtl/>
        </w:rPr>
        <w:sectPr w:rsidR="002165E7" w:rsidSect="002165E7">
          <w:type w:val="continuous"/>
          <w:pgSz w:w="11906" w:h="16838"/>
          <w:pgMar w:top="964" w:right="1021" w:bottom="964" w:left="1021" w:header="709" w:footer="709" w:gutter="0"/>
          <w:cols w:num="2" w:space="708"/>
          <w:bidi/>
          <w:rtlGutter/>
          <w:docGrid w:linePitch="360"/>
        </w:sectPr>
      </w:pPr>
    </w:p>
    <w:p w:rsidR="009556CB" w:rsidRPr="002165E7" w:rsidRDefault="009556CB"/>
    <w:sectPr w:rsidR="009556CB" w:rsidRPr="002165E7" w:rsidSect="002165E7">
      <w:type w:val="continuous"/>
      <w:pgSz w:w="11906" w:h="16838"/>
      <w:pgMar w:top="964" w:right="1021" w:bottom="964" w:left="1021"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L-Hotham">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712AB9"/>
    <w:multiLevelType w:val="hybridMultilevel"/>
    <w:tmpl w:val="4FE2E600"/>
    <w:lvl w:ilvl="0" w:tplc="2F0AF552">
      <w:start w:val="1"/>
      <w:numFmt w:val="decimal"/>
      <w:lvlText w:val="%1."/>
      <w:lvlJc w:val="left"/>
      <w:pPr>
        <w:tabs>
          <w:tab w:val="num" w:pos="510"/>
        </w:tabs>
        <w:ind w:left="510"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69232C5"/>
    <w:multiLevelType w:val="hybridMultilevel"/>
    <w:tmpl w:val="C5FCE356"/>
    <w:lvl w:ilvl="0" w:tplc="2BEA303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displayVerticalDrawingGridEvery w:val="2"/>
  <w:characterSpacingControl w:val="doNotCompress"/>
  <w:compat/>
  <w:rsids>
    <w:rsidRoot w:val="002165E7"/>
    <w:rsid w:val="002165E7"/>
    <w:rsid w:val="0039305A"/>
    <w:rsid w:val="00514443"/>
    <w:rsid w:val="009556CB"/>
    <w:rsid w:val="00BF7572"/>
    <w:rsid w:val="00C9102A"/>
    <w:rsid w:val="00E90E2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65E7"/>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persubtitle">
    <w:name w:val="paper subtitle"/>
    <w:rsid w:val="002165E7"/>
    <w:pPr>
      <w:suppressAutoHyphens/>
      <w:spacing w:after="120" w:line="240" w:lineRule="auto"/>
      <w:jc w:val="center"/>
    </w:pPr>
    <w:rPr>
      <w:rFonts w:ascii="Times New Roman" w:eastAsia="MS Mincho" w:hAnsi="Times New Roman" w:cs="Times New Roman"/>
      <w:sz w:val="28"/>
      <w:szCs w:val="28"/>
    </w:rPr>
  </w:style>
  <w:style w:type="paragraph" w:styleId="NormalWeb">
    <w:name w:val="Normal (Web)"/>
    <w:basedOn w:val="Normal"/>
    <w:rsid w:val="002165E7"/>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165E7"/>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867</Words>
  <Characters>4945</Characters>
  <Application>Microsoft Office Word</Application>
  <DocSecurity>0</DocSecurity>
  <Lines>41</Lines>
  <Paragraphs>11</Paragraphs>
  <ScaleCrop>false</ScaleCrop>
  <Company/>
  <LinksUpToDate>false</LinksUpToDate>
  <CharactersWithSpaces>5801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mohmed 2</dc:creator>
  <cp:lastModifiedBy>OYEK</cp:lastModifiedBy>
  <cp:revision>2</cp:revision>
  <dcterms:created xsi:type="dcterms:W3CDTF">2013-06-23T12:18:00Z</dcterms:created>
  <dcterms:modified xsi:type="dcterms:W3CDTF">2013-06-26T22:37:00Z</dcterms:modified>
</cp:coreProperties>
</file>