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6E485F" w:rsidP="003E563B">
      <w:pPr>
        <w:pStyle w:val="papersubtitle"/>
        <w:bidi/>
        <w:rPr>
          <w:i/>
          <w:iCs/>
          <w:sz w:val="48"/>
          <w:szCs w:val="48"/>
          <w:rtl/>
        </w:rPr>
      </w:pPr>
      <w:r w:rsidRPr="006A0189">
        <w:rPr>
          <w:rFonts w:hint="cs"/>
          <w:i/>
          <w:iCs/>
          <w:sz w:val="48"/>
          <w:szCs w:val="48"/>
          <w:rtl/>
        </w:rPr>
        <w:t>أنواع معاملات الارتباط، وحدودها</w:t>
      </w:r>
    </w:p>
    <w:p w:rsidR="009B626B" w:rsidRDefault="009B626B" w:rsidP="009B626B">
      <w:pPr>
        <w:pStyle w:val="papersubtitle"/>
        <w:bidi/>
        <w:rPr>
          <w:lang w:bidi="ar-EG"/>
        </w:rPr>
      </w:pPr>
      <w:r>
        <w:rPr>
          <w:rFonts w:hint="cs"/>
          <w:i/>
          <w:iCs/>
          <w:rtl/>
          <w:lang w:bidi="ar-EG"/>
        </w:rPr>
        <w:t>بحث في القياس والتقويم التربوي</w:t>
      </w:r>
    </w:p>
    <w:p w:rsidR="009B626B" w:rsidRDefault="009B626B" w:rsidP="009B626B">
      <w:pPr>
        <w:suppressAutoHyphens w:val="0"/>
        <w:jc w:val="left"/>
        <w:sectPr w:rsidR="009B626B">
          <w:pgSz w:w="11906" w:h="16838"/>
          <w:pgMar w:top="1080" w:right="737" w:bottom="2432" w:left="737" w:header="720" w:footer="720" w:gutter="0"/>
          <w:cols w:space="720"/>
        </w:sectPr>
      </w:pPr>
    </w:p>
    <w:p w:rsidR="009B626B" w:rsidRDefault="009B626B" w:rsidP="009B626B">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9B626B" w:rsidRDefault="009B626B" w:rsidP="009B626B">
      <w:pPr>
        <w:pStyle w:val="Affiliation"/>
        <w:bidi/>
        <w:rPr>
          <w:i/>
          <w:iCs/>
        </w:rPr>
      </w:pPr>
      <w:r>
        <w:rPr>
          <w:rFonts w:hint="cs"/>
          <w:i/>
          <w:iCs/>
          <w:rtl/>
        </w:rPr>
        <w:t xml:space="preserve">قسم التربية </w:t>
      </w:r>
    </w:p>
    <w:p w:rsidR="009B626B" w:rsidRDefault="009B626B" w:rsidP="009B626B">
      <w:pPr>
        <w:pStyle w:val="Affiliation"/>
        <w:bidi/>
        <w:rPr>
          <w:rtl/>
        </w:rPr>
      </w:pPr>
      <w:r>
        <w:rPr>
          <w:rFonts w:hint="cs"/>
          <w:i/>
          <w:iCs/>
          <w:rtl/>
        </w:rPr>
        <w:t>كلية التربية– جامعة المدينة العالمية</w:t>
      </w:r>
    </w:p>
    <w:p w:rsidR="009B626B" w:rsidRDefault="009B626B" w:rsidP="009B626B">
      <w:pPr>
        <w:pStyle w:val="Affiliation"/>
        <w:bidi/>
        <w:rPr>
          <w:rtl/>
        </w:rPr>
      </w:pPr>
      <w:r>
        <w:rPr>
          <w:rFonts w:hint="cs"/>
          <w:rtl/>
        </w:rPr>
        <w:t>شاه علم - ماليزيا</w:t>
      </w:r>
    </w:p>
    <w:p w:rsidR="00FD7D36" w:rsidRPr="009B626B" w:rsidRDefault="009B626B" w:rsidP="00D01C0B">
      <w:pPr>
        <w:pStyle w:val="Affiliation"/>
        <w:bidi/>
      </w:pPr>
      <w:r w:rsidRPr="009B626B">
        <w:rPr>
          <w:i/>
          <w:iCs/>
        </w:rPr>
        <w:t>shaimaa.abdelmajeed@mediu.edu.my</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6E485F">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6E485F" w:rsidRPr="006A0189">
        <w:rPr>
          <w:rFonts w:eastAsia="Times New Roman" w:hint="cs"/>
          <w:rtl/>
        </w:rPr>
        <w:t>أنواع معاملات الارتباط، وحدودها</w:t>
      </w:r>
      <w:r w:rsidR="000428FF" w:rsidRPr="000428FF">
        <w:rPr>
          <w:rFonts w:eastAsia="Times New Roman"/>
        </w:rPr>
        <w:t>.</w:t>
      </w:r>
    </w:p>
    <w:p w:rsidR="00FD7D36" w:rsidRDefault="00E5535F" w:rsidP="006E485F">
      <w:pPr>
        <w:pStyle w:val="keywords"/>
        <w:bidi/>
        <w:ind w:firstLine="180"/>
        <w:rPr>
          <w:rtl/>
        </w:rPr>
      </w:pPr>
      <w:r>
        <w:rPr>
          <w:rFonts w:hint="cs"/>
          <w:i/>
          <w:rtl/>
          <w:lang w:eastAsia="zh-CN"/>
        </w:rPr>
        <w:t>الكلمات المفتاحية</w:t>
      </w:r>
      <w:r w:rsidRPr="00455C43">
        <w:rPr>
          <w:rFonts w:hint="cs"/>
          <w:i/>
          <w:rtl/>
          <w:lang w:eastAsia="zh-CN"/>
        </w:rPr>
        <w:t>:</w:t>
      </w:r>
      <w:r w:rsidR="00743145">
        <w:rPr>
          <w:rFonts w:hint="cs"/>
          <w:i/>
          <w:rtl/>
          <w:lang w:eastAsia="zh-CN"/>
        </w:rPr>
        <w:t xml:space="preserve"> الارتباط، العلاقة، المعاملات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6A0189" w:rsidRPr="006A0189" w:rsidRDefault="00AE5DD6" w:rsidP="006A0189">
      <w:pPr>
        <w:pStyle w:val="Abstract"/>
        <w:bidi/>
        <w:spacing w:after="0"/>
        <w:ind w:firstLine="173"/>
        <w:rPr>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6E485F" w:rsidRPr="006A0189">
        <w:rPr>
          <w:rFonts w:eastAsia="Times New Roman" w:hint="cs"/>
          <w:rtl/>
        </w:rPr>
        <w:t>أنواع معاملات الارتباط، وحدودها</w:t>
      </w:r>
      <w:r w:rsidR="006A0189">
        <w:rPr>
          <w:rFonts w:eastAsia="Times New Roman" w:hint="cs"/>
          <w:rtl/>
        </w:rPr>
        <w:t xml:space="preserve">، </w:t>
      </w:r>
      <w:r w:rsidR="006A0189" w:rsidRPr="006A0189">
        <w:rPr>
          <w:rtl/>
          <w:lang w:eastAsia="en-US"/>
        </w:rPr>
        <w:t>يتم تحديد الحدود الخاصة بكل معامل من معاملات الارتباط. إذا أشرنا أن العلاقة بين المتغيرين علاقة موجبة تامة إذًا، معامل الارتباط يمثل واحدًا صحيحًا. إذا أشرنا إلى أن معامل الارتباط بين المتغيرين ارتباط صفري، إذًا، معامل الارتباط يساوي صفرًا. إذا ذكرنا أن الارتباط سالب موجب، إذًا، معامل الارتباط يساوي سالب واحد.</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6A0189" w:rsidRPr="006A0189" w:rsidRDefault="006A0189" w:rsidP="006A0189">
      <w:pPr>
        <w:pStyle w:val="Abstract"/>
        <w:bidi/>
        <w:spacing w:after="0"/>
        <w:ind w:firstLine="173"/>
        <w:rPr>
          <w:lang w:eastAsia="en-US"/>
        </w:rPr>
      </w:pPr>
      <w:r w:rsidRPr="006A0189">
        <w:rPr>
          <w:rtl/>
          <w:lang w:eastAsia="en-US"/>
        </w:rPr>
        <w:t>المقصود بمعامل الارتباط:</w:t>
      </w:r>
    </w:p>
    <w:p w:rsidR="006A0189" w:rsidRPr="006A0189" w:rsidRDefault="006A0189" w:rsidP="006A0189">
      <w:pPr>
        <w:pStyle w:val="Abstract"/>
        <w:bidi/>
        <w:spacing w:after="0"/>
        <w:ind w:firstLine="173"/>
        <w:rPr>
          <w:lang w:eastAsia="en-US"/>
        </w:rPr>
      </w:pPr>
      <w:r w:rsidRPr="006A0189">
        <w:rPr>
          <w:rtl/>
          <w:lang w:eastAsia="en-US"/>
        </w:rPr>
        <w:t xml:space="preserve">معامل الارتباط: هو مقدار العلاقة بين متغيرين، أو درجة الارتباط بينهما، وهذه الدرجة أو ذلك المقدار يعبر عن قوة أو ضعف الارتباط. معنى هذا: لقد أشرنا فيما سبق أن الارتباط له خمسة أنواع، ولكن درجة وقوة الاختبار تتضح لنا من خلال معاملات الارتباط. </w:t>
      </w:r>
    </w:p>
    <w:p w:rsidR="006A0189" w:rsidRPr="006A0189" w:rsidRDefault="006A0189" w:rsidP="006A0189">
      <w:pPr>
        <w:pStyle w:val="Abstract"/>
        <w:bidi/>
        <w:spacing w:after="0"/>
        <w:ind w:firstLine="173"/>
        <w:rPr>
          <w:lang w:eastAsia="en-US"/>
        </w:rPr>
      </w:pPr>
      <w:r w:rsidRPr="006A0189">
        <w:rPr>
          <w:rtl/>
          <w:lang w:eastAsia="en-US"/>
        </w:rPr>
        <w:t>إذًا، كل نوع من أنواع الارتباط له معامل خاص به، ذلك المعامل ممكن من خلاله تحديد قوة أو ضعف الارتباط بين المتغيرين، معامل ارتباط موجب تام، معامل ارتباط موجب جزئي، معامل ارتباط صفري، معامل ارتباط سالب، معامل ارتباط سالب تام.</w:t>
      </w:r>
    </w:p>
    <w:p w:rsidR="006A0189" w:rsidRPr="006A0189" w:rsidRDefault="006A0189" w:rsidP="006A0189">
      <w:pPr>
        <w:pStyle w:val="Abstract"/>
        <w:bidi/>
        <w:spacing w:after="0"/>
        <w:ind w:firstLine="173"/>
        <w:rPr>
          <w:lang w:eastAsia="en-US"/>
        </w:rPr>
      </w:pPr>
      <w:r w:rsidRPr="006A0189">
        <w:rPr>
          <w:rtl/>
          <w:lang w:eastAsia="en-US"/>
        </w:rPr>
        <w:t>معنى هذا: أن هناك أنواع ارتباطات تقابلها أنواع خمسة لحساب تلك الارتباطات تسمى: معامل الارتباط، فمعامل الارتباط التام يقدر درجة العلاقة بين متغيرين يرتبطان ببعضهما ارتباطًا موجبًا وتامًّا، ومعامل الارتباط السالب تام أيضًا يمكن تقديره بعلاقة بين متغيرين يرتبطان ببعضهما ارتباطًا سالبًا وتامًّا، وهكذا بالنسبة لكافة المتغيرات الخمس، ولكن معامل الارتباط له حدود ما هي؟</w:t>
      </w:r>
    </w:p>
    <w:p w:rsidR="006A0189" w:rsidRPr="006A0189" w:rsidRDefault="006A0189" w:rsidP="006A0189">
      <w:pPr>
        <w:pStyle w:val="Abstract"/>
        <w:bidi/>
        <w:spacing w:after="0"/>
        <w:ind w:firstLine="173"/>
        <w:rPr>
          <w:lang w:eastAsia="en-US"/>
        </w:rPr>
      </w:pPr>
      <w:r w:rsidRPr="006A0189">
        <w:rPr>
          <w:rtl/>
          <w:lang w:eastAsia="en-US"/>
        </w:rPr>
        <w:t>- حدود معاملات الارتباط:</w:t>
      </w:r>
    </w:p>
    <w:p w:rsidR="006A0189" w:rsidRPr="006A0189" w:rsidRDefault="006A0189" w:rsidP="006A0189">
      <w:pPr>
        <w:pStyle w:val="Abstract"/>
        <w:bidi/>
        <w:spacing w:after="0"/>
        <w:ind w:firstLine="173"/>
        <w:rPr>
          <w:lang w:eastAsia="en-US"/>
        </w:rPr>
      </w:pPr>
      <w:r w:rsidRPr="006A0189">
        <w:rPr>
          <w:rtl/>
          <w:lang w:eastAsia="en-US"/>
        </w:rPr>
        <w:t>معنى الارتباط الموجب التام. معنى ذلك: أن متغيرين يرتبطان ببعضهما بشكل تام، وبصورة منتظمة، أي: بنسبة مائة في المائة. هذا التساوي مائة في المائة يقصد بها: 100÷ 100 يساوي واحد صحيح؛ لذلك فإن قيمة الارتباط الموجب التام يساوي واحد صحيح، أما الارتباط الصفري: عدم وجود ارتباط يؤدي إلى ارتباط صفري، أما الارتباط السالب التام: لأن الارتباطات عكسية فدرجة الارتباط هنا سالب مائة في المائة، والتي تساوي سالب 100 ÷ 100، النتيجة: تساوي سالب واحد، ولذلك فإن قيمة معامل الارتباط السالب التام يساوي سالب واحد.</w:t>
      </w:r>
    </w:p>
    <w:p w:rsidR="006A0189" w:rsidRPr="006A0189" w:rsidRDefault="006A0189" w:rsidP="006A0189">
      <w:pPr>
        <w:pStyle w:val="Abstract"/>
        <w:bidi/>
        <w:spacing w:after="0"/>
        <w:ind w:firstLine="173"/>
        <w:rPr>
          <w:lang w:eastAsia="en-US"/>
        </w:rPr>
      </w:pPr>
      <w:r w:rsidRPr="006A0189">
        <w:rPr>
          <w:rtl/>
          <w:lang w:eastAsia="en-US"/>
        </w:rPr>
        <w:t>إذًا، يتم تحديد الحدود الخاصة بكل معامل من معاملات الارتباط. إذا أشرنا أن العلاقة بين المتغيرين علاقة موجبة تامة إذًا، معامل الارتباط يمثل واحدًا صحيحًا. إذا أشرنا إلى أن معامل الارتباط بين المتغيرين ارتباط صفري، إذًا، معامل الارتباط يساوي صفرًا. إذا ذكرنا أن الارتباط سالب موجب، إذًا، معامل الارتباط يساوي سالب واحد.</w:t>
      </w:r>
    </w:p>
    <w:p w:rsidR="000E2248" w:rsidRPr="00C76949" w:rsidRDefault="006A0189" w:rsidP="006A0189">
      <w:pPr>
        <w:pStyle w:val="Abstract"/>
        <w:bidi/>
        <w:spacing w:after="0"/>
        <w:ind w:firstLine="173"/>
        <w:rPr>
          <w:lang w:eastAsia="en-US"/>
        </w:rPr>
      </w:pPr>
      <w:r w:rsidRPr="006A0189">
        <w:rPr>
          <w:rtl/>
          <w:lang w:eastAsia="en-US"/>
        </w:rPr>
        <w:t xml:space="preserve">أما معامل الارتباط الموجب الجزئي، فإنه ينحصر بين الصفر والواحد؛ بحيث لا يقل عن درجة الصفر، ولا يزيد عن درجة الواحد. أما معامل الارتباط السالب الجزئي، فهو بين الصفر، وسالب واحد، فلا يزيد عن الصفر، ولا يقل عن سالب واحد، وتحدد قيمته أيضًا بمعاملات خاصة، أي: أن معامل الارتباط الذي لدينا يرتبط بحدود محددة، توصلنا ما المقصود بمعامل الارتباط؟ وما هي حدود معامل الارتباط؟ كل ارتباط له معامل خاص به، المعامل الموجب التام واحد صحيح، المعامل الموجب الجزئي من صفر إلى واحد صحيح، فلا يقل عن صفر، ولا يزيد عن واحد صحيح، الارتباط الجزئي، الارتباط الصفري، معامل الارتباط الخاص به صفر، أو س الارتباط السالب التام. إذًا، معامل الارتباط الخاص به </w:t>
      </w:r>
      <w:r w:rsidRPr="006A0189">
        <w:rPr>
          <w:rtl/>
          <w:lang w:eastAsia="en-US"/>
        </w:rPr>
        <w:lastRenderedPageBreak/>
        <w:t>سالب واحد، معامل الارتباط السالب الجزئي معامل الارتباط الخاص به من صفر إلى ناقص واحد، فلا يزيد عن صفر، ولا يقل عن ناقص واحد، وممكن أن يرمز إليه برمز رياضي، فمعامل الارتباط يرمز له بالرمز "ر"، "ر" هو رمز معامل الارتباط.</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31D" w:rsidRDefault="00B3531D" w:rsidP="000C4416">
      <w:r>
        <w:separator/>
      </w:r>
    </w:p>
  </w:endnote>
  <w:endnote w:type="continuationSeparator" w:id="1">
    <w:p w:rsidR="00B3531D" w:rsidRDefault="00B3531D"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31D" w:rsidRDefault="00B3531D" w:rsidP="000C4416">
      <w:r>
        <w:separator/>
      </w:r>
    </w:p>
  </w:footnote>
  <w:footnote w:type="continuationSeparator" w:id="1">
    <w:p w:rsidR="00B3531D" w:rsidRDefault="00B3531D"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4877"/>
    <w:rsid w:val="00240CC0"/>
    <w:rsid w:val="00251720"/>
    <w:rsid w:val="00265FEB"/>
    <w:rsid w:val="0029290A"/>
    <w:rsid w:val="00297415"/>
    <w:rsid w:val="002E4D02"/>
    <w:rsid w:val="00351835"/>
    <w:rsid w:val="00380E9F"/>
    <w:rsid w:val="003908EE"/>
    <w:rsid w:val="003916F3"/>
    <w:rsid w:val="003B5B7D"/>
    <w:rsid w:val="003C3105"/>
    <w:rsid w:val="003D1747"/>
    <w:rsid w:val="003E563B"/>
    <w:rsid w:val="00444EE2"/>
    <w:rsid w:val="00455C43"/>
    <w:rsid w:val="00461F7F"/>
    <w:rsid w:val="0047261F"/>
    <w:rsid w:val="00477ECE"/>
    <w:rsid w:val="004A3992"/>
    <w:rsid w:val="004A6804"/>
    <w:rsid w:val="004B0223"/>
    <w:rsid w:val="0052167A"/>
    <w:rsid w:val="00531265"/>
    <w:rsid w:val="005426F1"/>
    <w:rsid w:val="00582DC7"/>
    <w:rsid w:val="005A01F7"/>
    <w:rsid w:val="005A0FF9"/>
    <w:rsid w:val="005A1979"/>
    <w:rsid w:val="005A3FD3"/>
    <w:rsid w:val="005E69E1"/>
    <w:rsid w:val="00601F08"/>
    <w:rsid w:val="00614F38"/>
    <w:rsid w:val="00615942"/>
    <w:rsid w:val="006226AB"/>
    <w:rsid w:val="00663599"/>
    <w:rsid w:val="00680242"/>
    <w:rsid w:val="00680673"/>
    <w:rsid w:val="006A0189"/>
    <w:rsid w:val="006E485F"/>
    <w:rsid w:val="006F0791"/>
    <w:rsid w:val="00713EA5"/>
    <w:rsid w:val="0072481B"/>
    <w:rsid w:val="00726A4B"/>
    <w:rsid w:val="007345A3"/>
    <w:rsid w:val="00743145"/>
    <w:rsid w:val="00764636"/>
    <w:rsid w:val="00787AE3"/>
    <w:rsid w:val="00791EA8"/>
    <w:rsid w:val="00793A54"/>
    <w:rsid w:val="007C4E09"/>
    <w:rsid w:val="007E18F8"/>
    <w:rsid w:val="007F248F"/>
    <w:rsid w:val="00810915"/>
    <w:rsid w:val="0081217A"/>
    <w:rsid w:val="00821F7F"/>
    <w:rsid w:val="008B7296"/>
    <w:rsid w:val="00905B2D"/>
    <w:rsid w:val="00905FF7"/>
    <w:rsid w:val="0093390E"/>
    <w:rsid w:val="0098735B"/>
    <w:rsid w:val="009A452E"/>
    <w:rsid w:val="009B626B"/>
    <w:rsid w:val="009C5067"/>
    <w:rsid w:val="00A05529"/>
    <w:rsid w:val="00A44522"/>
    <w:rsid w:val="00A5227F"/>
    <w:rsid w:val="00A71A81"/>
    <w:rsid w:val="00A7496D"/>
    <w:rsid w:val="00A87AA2"/>
    <w:rsid w:val="00AC2A88"/>
    <w:rsid w:val="00AD34AF"/>
    <w:rsid w:val="00AE5DD6"/>
    <w:rsid w:val="00B3531D"/>
    <w:rsid w:val="00B5552B"/>
    <w:rsid w:val="00B67BC9"/>
    <w:rsid w:val="00B74E68"/>
    <w:rsid w:val="00B96CE5"/>
    <w:rsid w:val="00BA14B1"/>
    <w:rsid w:val="00BD267B"/>
    <w:rsid w:val="00C42C06"/>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4DDD"/>
    <w:rsid w:val="00E5535F"/>
    <w:rsid w:val="00E62376"/>
    <w:rsid w:val="00E72D31"/>
    <w:rsid w:val="00EC32E0"/>
    <w:rsid w:val="00ED248A"/>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4A399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38</cp:revision>
  <cp:lastPrinted>2013-04-30T13:38:00Z</cp:lastPrinted>
  <dcterms:created xsi:type="dcterms:W3CDTF">2013-06-12T07:22:00Z</dcterms:created>
  <dcterms:modified xsi:type="dcterms:W3CDTF">2013-07-01T22:03:00Z</dcterms:modified>
</cp:coreProperties>
</file>