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AD4EC9" w:rsidP="003E563B">
      <w:pPr>
        <w:pStyle w:val="papersubtitle"/>
        <w:bidi/>
        <w:rPr>
          <w:i/>
          <w:iCs/>
          <w:sz w:val="48"/>
          <w:szCs w:val="48"/>
          <w:rtl/>
        </w:rPr>
      </w:pPr>
      <w:r w:rsidRPr="006C03F0">
        <w:rPr>
          <w:rFonts w:hint="cs"/>
          <w:i/>
          <w:iCs/>
          <w:sz w:val="48"/>
          <w:szCs w:val="48"/>
          <w:rtl/>
        </w:rPr>
        <w:t>المداخل الأساسية للدراسات المستقبلية، وأساليبها</w:t>
      </w:r>
    </w:p>
    <w:p w:rsidR="0081396F" w:rsidRDefault="0081396F" w:rsidP="0081396F">
      <w:pPr>
        <w:pStyle w:val="papersubtitle"/>
        <w:bidi/>
        <w:rPr>
          <w:lang w:bidi="ar-EG"/>
        </w:rPr>
      </w:pPr>
      <w:r>
        <w:rPr>
          <w:rFonts w:hint="cs"/>
          <w:i/>
          <w:iCs/>
          <w:rtl/>
          <w:lang w:bidi="ar-EG"/>
        </w:rPr>
        <w:t>بحث في القياس والتقويم التربوي</w:t>
      </w:r>
    </w:p>
    <w:p w:rsidR="0081396F" w:rsidRDefault="0081396F" w:rsidP="0081396F">
      <w:pPr>
        <w:suppressAutoHyphens w:val="0"/>
        <w:jc w:val="left"/>
        <w:sectPr w:rsidR="0081396F">
          <w:pgSz w:w="11906" w:h="16838"/>
          <w:pgMar w:top="1080" w:right="737" w:bottom="2432" w:left="737" w:header="720" w:footer="720" w:gutter="0"/>
          <w:cols w:space="720"/>
        </w:sectPr>
      </w:pPr>
    </w:p>
    <w:p w:rsidR="0081396F" w:rsidRDefault="0081396F" w:rsidP="0081396F">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A24CA1">
        <w:rPr>
          <w:i/>
          <w:iCs/>
          <w:rtl/>
        </w:rPr>
        <w:t>عادل محمد فتحي</w:t>
      </w:r>
    </w:p>
    <w:p w:rsidR="0081396F" w:rsidRDefault="0081396F" w:rsidP="0081396F">
      <w:pPr>
        <w:pStyle w:val="Affiliation"/>
        <w:bidi/>
        <w:rPr>
          <w:rFonts w:hint="cs"/>
          <w:i/>
          <w:iCs/>
          <w:rtl/>
        </w:rPr>
      </w:pPr>
      <w:r>
        <w:rPr>
          <w:rFonts w:hint="cs"/>
          <w:i/>
          <w:iCs/>
          <w:rtl/>
        </w:rPr>
        <w:t xml:space="preserve">قسم التربية </w:t>
      </w:r>
    </w:p>
    <w:p w:rsidR="0081396F" w:rsidRDefault="0081396F" w:rsidP="0081396F">
      <w:pPr>
        <w:pStyle w:val="Affiliation"/>
        <w:bidi/>
      </w:pPr>
      <w:r>
        <w:rPr>
          <w:rFonts w:hint="cs"/>
          <w:i/>
          <w:iCs/>
          <w:rtl/>
        </w:rPr>
        <w:t>كلية التربية– جامعة المدينة العالمية</w:t>
      </w:r>
    </w:p>
    <w:p w:rsidR="0081396F" w:rsidRDefault="0081396F" w:rsidP="0081396F">
      <w:pPr>
        <w:pStyle w:val="Affiliation"/>
        <w:bidi/>
        <w:rPr>
          <w:rtl/>
        </w:rPr>
      </w:pPr>
      <w:r>
        <w:rPr>
          <w:rFonts w:hint="cs"/>
          <w:rtl/>
        </w:rPr>
        <w:t>شاه علم - ماليزيا</w:t>
      </w:r>
    </w:p>
    <w:p w:rsidR="0081396F" w:rsidRDefault="0081396F" w:rsidP="0081396F">
      <w:pPr>
        <w:suppressAutoHyphens w:val="0"/>
        <w:rPr>
          <w:color w:val="FF0000"/>
        </w:rPr>
        <w:sectPr w:rsidR="0081396F">
          <w:type w:val="continuous"/>
          <w:pgSz w:w="11906" w:h="16838"/>
          <w:pgMar w:top="1080" w:right="737" w:bottom="2432" w:left="737" w:header="720" w:footer="720" w:gutter="0"/>
          <w:cols w:space="720"/>
          <w:bidi/>
        </w:sectPr>
      </w:pPr>
      <w:r w:rsidRPr="00A24CA1">
        <w:rPr>
          <w:i/>
          <w:iCs/>
        </w:rPr>
        <w:t>adel.mater@mediu.edu.my</w:t>
      </w:r>
    </w:p>
    <w:p w:rsidR="00FD7D36" w:rsidRPr="0081396F"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AD4EC9">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AD4EC9" w:rsidRPr="0018688D">
        <w:rPr>
          <w:rFonts w:eastAsia="Times New Roman" w:hint="cs"/>
          <w:rtl/>
        </w:rPr>
        <w:t>المداخل الأساسية للدراسات المستقبلية، وأساليبها</w:t>
      </w:r>
      <w:r w:rsidR="000428FF" w:rsidRPr="000428FF">
        <w:rPr>
          <w:rFonts w:eastAsia="Times New Roman"/>
        </w:rPr>
        <w:t>.</w:t>
      </w:r>
    </w:p>
    <w:p w:rsidR="00FD7D36" w:rsidRDefault="00E5535F" w:rsidP="00AD4EC9">
      <w:pPr>
        <w:pStyle w:val="keywords"/>
        <w:bidi/>
        <w:ind w:firstLine="180"/>
        <w:rPr>
          <w:rtl/>
        </w:rPr>
      </w:pPr>
      <w:r>
        <w:rPr>
          <w:rFonts w:hint="cs"/>
          <w:i/>
          <w:rtl/>
          <w:lang w:eastAsia="zh-CN"/>
        </w:rPr>
        <w:t>الكلمات المفتاحية</w:t>
      </w:r>
      <w:r w:rsidRPr="00455C43">
        <w:rPr>
          <w:rFonts w:hint="cs"/>
          <w:i/>
          <w:rtl/>
          <w:lang w:eastAsia="zh-CN"/>
        </w:rPr>
        <w:t>:</w:t>
      </w:r>
      <w:r w:rsidR="0084482D">
        <w:rPr>
          <w:rFonts w:hint="cs"/>
          <w:i/>
          <w:rtl/>
          <w:lang w:eastAsia="zh-CN"/>
        </w:rPr>
        <w:t xml:space="preserve"> البحث، المستقبل، الدراسات، الحوارات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7F56D4" w:rsidRPr="0018688D" w:rsidRDefault="00AE5DD6" w:rsidP="007F56D4">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AD4EC9" w:rsidRPr="0018688D">
        <w:rPr>
          <w:rFonts w:eastAsia="Times New Roman" w:hint="cs"/>
          <w:rtl/>
        </w:rPr>
        <w:t>المداخل الأساسية للدراسات المستقبلية، وأساليبها</w:t>
      </w:r>
      <w:r w:rsidR="007F56D4">
        <w:rPr>
          <w:rFonts w:eastAsia="Times New Roman" w:hint="cs"/>
          <w:rtl/>
        </w:rPr>
        <w:t xml:space="preserve">، </w:t>
      </w:r>
      <w:r w:rsidR="007F56D4" w:rsidRPr="0018688D">
        <w:rPr>
          <w:rtl/>
          <w:lang w:eastAsia="en-US"/>
        </w:rPr>
        <w:t>أسلوب التنبؤ الإحصائي أثناءَه يعتمد الباحث على متغيرين، أحدهما مجهول تمامًا، والآخر معلوم. المعلوم يعتمد عليه الباحث في التعامل، ونستفيد منه حتى نتنبأ ونصل إلى المتغير المجهول، على أساس أن هناك عَلاقةً تربط بين المتغيرين، أو علاقة ارتباط بين المتغيرين، يستخدم هنا الباحث معادلة تسمى أسلوب معادلة التوقع المستقيم.</w:t>
      </w:r>
    </w:p>
    <w:p w:rsidR="0007783C" w:rsidRPr="00207CDC" w:rsidRDefault="0007783C" w:rsidP="0007783C">
      <w:pPr>
        <w:pStyle w:val="Abstract"/>
        <w:bidi/>
        <w:spacing w:after="0"/>
        <w:ind w:firstLine="173"/>
        <w:rPr>
          <w:rFonts w:eastAsia="Times New Roman"/>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18688D" w:rsidRPr="0018688D" w:rsidRDefault="0018688D" w:rsidP="0018688D">
      <w:pPr>
        <w:pStyle w:val="Abstract"/>
        <w:bidi/>
        <w:spacing w:after="0"/>
        <w:ind w:firstLine="173"/>
        <w:rPr>
          <w:rtl/>
          <w:lang w:eastAsia="en-US"/>
        </w:rPr>
      </w:pPr>
      <w:r w:rsidRPr="0018688D">
        <w:rPr>
          <w:rtl/>
          <w:lang w:eastAsia="en-US"/>
        </w:rPr>
        <w:t>المداخل الأساسية للدراسات المستقبلية:</w:t>
      </w:r>
    </w:p>
    <w:p w:rsidR="0018688D" w:rsidRPr="0018688D" w:rsidRDefault="0018688D" w:rsidP="0018688D">
      <w:pPr>
        <w:pStyle w:val="Abstract"/>
        <w:bidi/>
        <w:spacing w:after="0"/>
        <w:ind w:firstLine="173"/>
        <w:rPr>
          <w:rtl/>
          <w:lang w:eastAsia="en-US"/>
        </w:rPr>
      </w:pPr>
      <w:r w:rsidRPr="0018688D">
        <w:rPr>
          <w:rtl/>
          <w:lang w:eastAsia="en-US"/>
        </w:rPr>
        <w:t>يتوفر لدينا خمسة مداخل تساعد على الدراسات المستقبلية، أو أساليب للدراسات المستقبلية.</w:t>
      </w:r>
    </w:p>
    <w:p w:rsidR="0018688D" w:rsidRPr="0018688D" w:rsidRDefault="0018688D" w:rsidP="0018688D">
      <w:pPr>
        <w:pStyle w:val="Abstract"/>
        <w:bidi/>
        <w:spacing w:after="0"/>
        <w:ind w:firstLine="173"/>
        <w:rPr>
          <w:rtl/>
          <w:lang w:eastAsia="en-US"/>
        </w:rPr>
      </w:pPr>
      <w:r w:rsidRPr="0018688D">
        <w:rPr>
          <w:rtl/>
          <w:lang w:eastAsia="en-US"/>
        </w:rPr>
        <w:t>أولًا: اعتبار أن المستقبل صورة من الحاضر، وأن الواقع -الحاضر الذي نعيش فيه- هو الصورة المرغوبُ فيها.</w:t>
      </w:r>
    </w:p>
    <w:p w:rsidR="0018688D" w:rsidRPr="0018688D" w:rsidRDefault="0018688D" w:rsidP="0018688D">
      <w:pPr>
        <w:pStyle w:val="Abstract"/>
        <w:bidi/>
        <w:spacing w:after="0"/>
        <w:ind w:firstLine="173"/>
        <w:rPr>
          <w:rtl/>
          <w:lang w:eastAsia="en-US"/>
        </w:rPr>
      </w:pPr>
      <w:r w:rsidRPr="0018688D">
        <w:rPr>
          <w:rtl/>
          <w:lang w:eastAsia="en-US"/>
        </w:rPr>
        <w:t xml:space="preserve">ثانيًا: اعتبار أن المستقبل يعد امتدادًا طبيعيًّا للماضي، ومن ثم أصحاب هذا المدخل يميلون إلى التطور البطيء، يمثل التغيير هنا امتداد بدون تغيير، وهو يعد امتدادًا بالمعتاد أو الحياة المعتادة. </w:t>
      </w:r>
    </w:p>
    <w:p w:rsidR="0018688D" w:rsidRPr="0018688D" w:rsidRDefault="0018688D" w:rsidP="0018688D">
      <w:pPr>
        <w:pStyle w:val="Abstract"/>
        <w:bidi/>
        <w:spacing w:after="0"/>
        <w:ind w:firstLine="173"/>
        <w:rPr>
          <w:rtl/>
          <w:lang w:eastAsia="en-US"/>
        </w:rPr>
      </w:pPr>
      <w:r w:rsidRPr="0018688D">
        <w:rPr>
          <w:rtl/>
          <w:lang w:eastAsia="en-US"/>
        </w:rPr>
        <w:t>بعض الدراسات والمداخل تنظر إلى المستقبل كمتغير وحيد:</w:t>
      </w:r>
    </w:p>
    <w:p w:rsidR="0018688D" w:rsidRPr="0018688D" w:rsidRDefault="0018688D" w:rsidP="0018688D">
      <w:pPr>
        <w:pStyle w:val="Abstract"/>
        <w:bidi/>
        <w:spacing w:after="0"/>
        <w:ind w:firstLine="173"/>
        <w:rPr>
          <w:rtl/>
          <w:lang w:eastAsia="en-US"/>
        </w:rPr>
      </w:pPr>
      <w:r w:rsidRPr="0018688D">
        <w:rPr>
          <w:rtl/>
          <w:lang w:eastAsia="en-US"/>
        </w:rPr>
        <w:t xml:space="preserve"> يرى الباحث هنا صورة للمستقبل مرغوبًا فيها، يسعى للوصول إليها من خلال إحداث تغيرات تساعده على الوصول إلى تلك الصورة الاحتمالية في الواقع المستقبل. </w:t>
      </w:r>
    </w:p>
    <w:p w:rsidR="0018688D" w:rsidRPr="0018688D" w:rsidRDefault="0018688D" w:rsidP="0018688D">
      <w:pPr>
        <w:pStyle w:val="Abstract"/>
        <w:bidi/>
        <w:spacing w:after="0"/>
        <w:ind w:firstLine="173"/>
        <w:rPr>
          <w:rtl/>
          <w:lang w:eastAsia="en-US"/>
        </w:rPr>
      </w:pPr>
      <w:r w:rsidRPr="0018688D">
        <w:rPr>
          <w:rtl/>
          <w:lang w:eastAsia="en-US"/>
        </w:rPr>
        <w:t xml:space="preserve">ومن ثم نجد أن المجالات تتنوع ولكن الأفضل فيها النظرة المضيئة أكثر. </w:t>
      </w:r>
    </w:p>
    <w:p w:rsidR="0018688D" w:rsidRPr="0018688D" w:rsidRDefault="0018688D" w:rsidP="0018688D">
      <w:pPr>
        <w:pStyle w:val="Abstract"/>
        <w:bidi/>
        <w:spacing w:after="0"/>
        <w:ind w:firstLine="173"/>
        <w:rPr>
          <w:rtl/>
          <w:lang w:eastAsia="en-US"/>
        </w:rPr>
      </w:pPr>
      <w:r w:rsidRPr="0018688D">
        <w:rPr>
          <w:rtl/>
          <w:lang w:eastAsia="en-US"/>
        </w:rPr>
        <w:t>المستقبل الشامل:</w:t>
      </w:r>
    </w:p>
    <w:p w:rsidR="0018688D" w:rsidRPr="0018688D" w:rsidRDefault="0018688D" w:rsidP="0018688D">
      <w:pPr>
        <w:pStyle w:val="Abstract"/>
        <w:bidi/>
        <w:spacing w:after="0"/>
        <w:ind w:firstLine="173"/>
        <w:rPr>
          <w:rtl/>
          <w:lang w:eastAsia="en-US"/>
        </w:rPr>
      </w:pPr>
      <w:r w:rsidRPr="0018688D">
        <w:rPr>
          <w:rtl/>
          <w:lang w:eastAsia="en-US"/>
        </w:rPr>
        <w:t xml:space="preserve">صورة المستقبل الشامل يتضمن هنا جميع الأنشطة وجوانب المجتمع، فالباحث يرى هنا تكوين صورة متكاملة خاصة بالجوانب الاجتماعية والثقافية، فيقتصر على الجانب التعليمي فقط، فالجانب التربوي اجتماعي يشمل الثقافة والاقتصاد. </w:t>
      </w:r>
    </w:p>
    <w:p w:rsidR="0018688D" w:rsidRPr="0018688D" w:rsidRDefault="0018688D" w:rsidP="0018688D">
      <w:pPr>
        <w:pStyle w:val="Abstract"/>
        <w:bidi/>
        <w:spacing w:after="0"/>
        <w:ind w:firstLine="173"/>
        <w:rPr>
          <w:rtl/>
          <w:lang w:eastAsia="en-US"/>
        </w:rPr>
      </w:pPr>
      <w:r w:rsidRPr="0018688D">
        <w:rPr>
          <w:rtl/>
          <w:lang w:eastAsia="en-US"/>
        </w:rPr>
        <w:t xml:space="preserve"> المستقبل التكنولوجي:</w:t>
      </w:r>
    </w:p>
    <w:p w:rsidR="0018688D" w:rsidRPr="0018688D" w:rsidRDefault="0018688D" w:rsidP="0018688D">
      <w:pPr>
        <w:pStyle w:val="Abstract"/>
        <w:bidi/>
        <w:spacing w:after="0"/>
        <w:ind w:firstLine="173"/>
        <w:rPr>
          <w:rtl/>
          <w:lang w:eastAsia="en-US"/>
        </w:rPr>
      </w:pPr>
      <w:r w:rsidRPr="0018688D">
        <w:rPr>
          <w:rtl/>
          <w:lang w:eastAsia="en-US"/>
        </w:rPr>
        <w:t>وهنا يرى الباحثون ضرورة إبراز دور الوسائل التكنولوجية الحديثة في تطوير أوجه الحياة المختلفة. فنرى أن من المستوى الثالث المستقبل كمتغير وحيد، والمستقبل الشامل، والمستقبل التكنولوجي، يجب أن يكون مجال البحث التربوي متكاملًا في تلك النقاط الثلاثة.</w:t>
      </w:r>
    </w:p>
    <w:p w:rsidR="0018688D" w:rsidRPr="0018688D" w:rsidRDefault="0018688D" w:rsidP="0018688D">
      <w:pPr>
        <w:pStyle w:val="Abstract"/>
        <w:bidi/>
        <w:spacing w:after="0"/>
        <w:ind w:firstLine="173"/>
        <w:rPr>
          <w:rtl/>
          <w:lang w:eastAsia="en-US"/>
        </w:rPr>
      </w:pPr>
      <w:r w:rsidRPr="0018688D">
        <w:rPr>
          <w:rtl/>
          <w:lang w:eastAsia="en-US"/>
        </w:rPr>
        <w:t xml:space="preserve"> أيضًا نجد عددًا من البحوث المستقبلية تستعين بأدوات، أو لها أساليب متنوعة، هناك أسلوب البحث التربوي المستقبلي خاص بطبيعة المعلومات المتوفرة، سواء كانت كمية أو كيفية. </w:t>
      </w:r>
    </w:p>
    <w:p w:rsidR="0018688D" w:rsidRPr="0018688D" w:rsidRDefault="0018688D" w:rsidP="0018688D">
      <w:pPr>
        <w:pStyle w:val="Abstract"/>
        <w:bidi/>
        <w:spacing w:after="0"/>
        <w:ind w:firstLine="173"/>
        <w:rPr>
          <w:rtl/>
          <w:lang w:eastAsia="en-US"/>
        </w:rPr>
      </w:pPr>
      <w:r w:rsidRPr="0018688D">
        <w:rPr>
          <w:rtl/>
          <w:lang w:eastAsia="en-US"/>
        </w:rPr>
        <w:t xml:space="preserve">أيضًا هناك ما يتأثر باهتمامات الباحث، هناك مَن يرى المدى المرغوب الوصول إليه في تكوين الصورة المستقبلية، تلك اعتبارات مهمة تؤثر في أسلوب البحث المستقبلي. الاعتبارات الثلاث هي التي تناسب اختيار أسلوب البحث التربوي، وتوفير المعلومات كميةً وكيفيةً، بشرط حسب طبيعتها. أيضًا اهتمام الباحث، مجالات اهتمامه، المدى المرغوب الوصول إليه في تكوين الصورة المستقبلية، وبِناءً على هذه الاعتبارات يمكن اختيار الأسلوب المناسب من أساليب البحث التربوي. </w:t>
      </w:r>
    </w:p>
    <w:p w:rsidR="0018688D" w:rsidRPr="0018688D" w:rsidRDefault="0018688D" w:rsidP="0018688D">
      <w:pPr>
        <w:pStyle w:val="Abstract"/>
        <w:bidi/>
        <w:spacing w:after="0"/>
        <w:ind w:firstLine="173"/>
        <w:rPr>
          <w:rtl/>
          <w:lang w:eastAsia="en-US"/>
        </w:rPr>
      </w:pPr>
      <w:r w:rsidRPr="0018688D">
        <w:rPr>
          <w:rtl/>
          <w:lang w:eastAsia="en-US"/>
        </w:rPr>
        <w:t>هناك عدد من الأساليب التربوية في الدراسات المستقبلية:</w:t>
      </w:r>
    </w:p>
    <w:p w:rsidR="0018688D" w:rsidRPr="0018688D" w:rsidRDefault="0018688D" w:rsidP="0018688D">
      <w:pPr>
        <w:pStyle w:val="Abstract"/>
        <w:bidi/>
        <w:spacing w:after="0"/>
        <w:ind w:firstLine="173"/>
        <w:rPr>
          <w:rtl/>
          <w:lang w:eastAsia="en-US"/>
        </w:rPr>
      </w:pPr>
      <w:r w:rsidRPr="0018688D">
        <w:rPr>
          <w:rtl/>
          <w:lang w:eastAsia="en-US"/>
        </w:rPr>
        <w:t>الأسلوب الأول: أسلوب "دلفي":</w:t>
      </w:r>
    </w:p>
    <w:p w:rsidR="0018688D" w:rsidRPr="0018688D" w:rsidRDefault="0018688D" w:rsidP="0018688D">
      <w:pPr>
        <w:pStyle w:val="Abstract"/>
        <w:bidi/>
        <w:spacing w:after="0"/>
        <w:ind w:firstLine="173"/>
        <w:rPr>
          <w:rtl/>
          <w:lang w:eastAsia="en-US"/>
        </w:rPr>
      </w:pPr>
      <w:r w:rsidRPr="0018688D">
        <w:rPr>
          <w:rtl/>
          <w:lang w:eastAsia="en-US"/>
        </w:rPr>
        <w:lastRenderedPageBreak/>
        <w:t xml:space="preserve">هو أسلوب يتم تصميمه بطريقة مدروسة؛ لاستطلاع رأي مجموعة من الخبراء حول موضوع ما بهدف الدراسة. هذا الاستطلاع يتم من خلال مناقشة غير مباشرة، بعض الخبراء يتم استطلاع آرائهم بصورة غير مباشرة، وتعرف تلك الآراء والاتجاهات، ثم تتبلور الآراء حتى نصل إلى نتائج تفيد مشكلة البحث. من خلال طرح عدد من الأسئلة، ويترك المجال للخبراء الحرية في إبداء آرائهم، ولكنه يزود هذا الاستطلاع ببعض المعلومات الخاصة بمجال البحث. </w:t>
      </w:r>
    </w:p>
    <w:p w:rsidR="0018688D" w:rsidRPr="0018688D" w:rsidRDefault="0018688D" w:rsidP="0018688D">
      <w:pPr>
        <w:pStyle w:val="Abstract"/>
        <w:bidi/>
        <w:spacing w:after="0"/>
        <w:ind w:firstLine="173"/>
        <w:rPr>
          <w:rtl/>
          <w:lang w:eastAsia="en-US"/>
        </w:rPr>
      </w:pPr>
      <w:r w:rsidRPr="0018688D">
        <w:rPr>
          <w:rtl/>
          <w:lang w:eastAsia="en-US"/>
        </w:rPr>
        <w:t xml:space="preserve">الأسلوب الثاني: أسلوب "السيناريو": </w:t>
      </w:r>
    </w:p>
    <w:p w:rsidR="0018688D" w:rsidRPr="0018688D" w:rsidRDefault="0018688D" w:rsidP="0018688D">
      <w:pPr>
        <w:pStyle w:val="Abstract"/>
        <w:bidi/>
        <w:spacing w:after="0"/>
        <w:ind w:firstLine="173"/>
        <w:rPr>
          <w:rtl/>
          <w:lang w:eastAsia="en-US"/>
        </w:rPr>
      </w:pPr>
      <w:r w:rsidRPr="0018688D">
        <w:rPr>
          <w:rtl/>
          <w:lang w:eastAsia="en-US"/>
        </w:rPr>
        <w:t>يتم استخدام هذا الأسلوب بمعنى استشفاف المستقبل من خلال عدد من التصورات والاحتمالات المستقبلية، يتم وضع تلك التصورات والاحتمالات في صور بدائل، تشمل العديد من التداعيات والأطروحات أو السياقات، ثم يبنَى عليها الأنماط والنماذج المستقبلية، وبهذا يعد السيناريو وصفًا لوضع مستقبلي ممكن أو محتمل أو مرغوب فيه، من خلاله نحدد المسارات التي يمكن أن توصلنا إلى ذلك الوضع المستقبلي، ولكنه يعتمد على الانطلاق من الوضع الحالي.</w:t>
      </w:r>
    </w:p>
    <w:p w:rsidR="0018688D" w:rsidRPr="0018688D" w:rsidRDefault="0018688D" w:rsidP="0018688D">
      <w:pPr>
        <w:pStyle w:val="Abstract"/>
        <w:bidi/>
        <w:spacing w:after="0"/>
        <w:ind w:firstLine="173"/>
        <w:rPr>
          <w:rtl/>
          <w:lang w:eastAsia="en-US"/>
        </w:rPr>
      </w:pPr>
      <w:r w:rsidRPr="0018688D">
        <w:rPr>
          <w:rtl/>
          <w:lang w:eastAsia="en-US"/>
        </w:rPr>
        <w:t xml:space="preserve">وعلى الباحث بأسلوب السيناريو المستقبلي أن يركز ويستعين بآراء الخبراء المهتمين بمجال البحث؛ لأن في ذلك إثراءً جيدًا للدراسة موضوع البحث وإضافةً جيدةً، من خلال هؤلاء الخبراء يتم تطعيم أسلوب السيناريو في البحث للدراسات المستقبلية. </w:t>
      </w:r>
    </w:p>
    <w:p w:rsidR="0018688D" w:rsidRPr="0018688D" w:rsidRDefault="0018688D" w:rsidP="0018688D">
      <w:pPr>
        <w:pStyle w:val="Abstract"/>
        <w:bidi/>
        <w:spacing w:after="0"/>
        <w:ind w:firstLine="173"/>
        <w:rPr>
          <w:rtl/>
          <w:lang w:eastAsia="en-US"/>
        </w:rPr>
      </w:pPr>
      <w:r w:rsidRPr="0018688D">
        <w:rPr>
          <w:rtl/>
          <w:lang w:eastAsia="en-US"/>
        </w:rPr>
        <w:t>ثالثًا: التنبؤ الإسقاطي:</w:t>
      </w:r>
    </w:p>
    <w:p w:rsidR="0018688D" w:rsidRPr="0018688D" w:rsidRDefault="0018688D" w:rsidP="0018688D">
      <w:pPr>
        <w:pStyle w:val="Abstract"/>
        <w:bidi/>
        <w:spacing w:after="0"/>
        <w:ind w:firstLine="173"/>
        <w:rPr>
          <w:rtl/>
          <w:lang w:eastAsia="en-US"/>
        </w:rPr>
      </w:pPr>
      <w:r w:rsidRPr="0018688D">
        <w:rPr>
          <w:rtl/>
          <w:lang w:eastAsia="en-US"/>
        </w:rPr>
        <w:t>التنبؤ الإسقاطي يتصور المستقبل باعتباره نتائجَ لامتداد العناصر السابقة في الماضي؛ لأن الباحث بهذا الأسلوب يعد امتدادًا للماضي، وهو يأخذ من هذا المجتمع الماضي التصورات المستقبلية المحتملة، وبالطبع دائمًا ما يكون المستقبل هو نتاج الماضي وامتدادًا له؛ ففي هذه الدراسات يتم الباحث بدراسة نسبة من يلتحقون بالجامعات من عدد السكان. أيضًا الطاقة الاستيعابية، معدلات التدفق، احتياجات المجتمع.</w:t>
      </w:r>
    </w:p>
    <w:p w:rsidR="0018688D" w:rsidRPr="0018688D" w:rsidRDefault="0018688D" w:rsidP="0018688D">
      <w:pPr>
        <w:pStyle w:val="Abstract"/>
        <w:bidi/>
        <w:spacing w:after="0"/>
        <w:ind w:firstLine="173"/>
        <w:rPr>
          <w:rtl/>
          <w:lang w:eastAsia="en-US"/>
        </w:rPr>
      </w:pPr>
      <w:r w:rsidRPr="0018688D">
        <w:rPr>
          <w:rtl/>
          <w:lang w:eastAsia="en-US"/>
        </w:rPr>
        <w:t>الأسلوب الرابع: وهو التنبؤ بأسلوب الحوار المحسوب:</w:t>
      </w:r>
    </w:p>
    <w:p w:rsidR="0018688D" w:rsidRPr="0018688D" w:rsidRDefault="0018688D" w:rsidP="0018688D">
      <w:pPr>
        <w:pStyle w:val="Abstract"/>
        <w:bidi/>
        <w:spacing w:after="0"/>
        <w:ind w:firstLine="173"/>
        <w:rPr>
          <w:rtl/>
          <w:lang w:eastAsia="en-US"/>
        </w:rPr>
      </w:pPr>
      <w:r w:rsidRPr="0018688D">
        <w:rPr>
          <w:rtl/>
          <w:lang w:eastAsia="en-US"/>
        </w:rPr>
        <w:t>أسلوب الحوار المحسوب يعتمد على بناء حوارات، كل حوار من تلك الحوارات يمثل متغيرًا محتملًا حدوثه في المستقبل، أيضًا يحدد الموضوعات الرئيسة التي تلعب دورًا رئيسًا في المستقبل. بِناءُ صورة كلية للمجتمع في المستقبل، ويتم تحديد قدرات ذلك المجتمع ومتطلبات ذلك المجتمع.</w:t>
      </w:r>
    </w:p>
    <w:p w:rsidR="0018688D" w:rsidRPr="0018688D" w:rsidRDefault="0018688D" w:rsidP="0018688D">
      <w:pPr>
        <w:pStyle w:val="Abstract"/>
        <w:bidi/>
        <w:spacing w:after="0"/>
        <w:ind w:firstLine="173"/>
        <w:rPr>
          <w:rtl/>
          <w:lang w:eastAsia="en-US"/>
        </w:rPr>
      </w:pPr>
      <w:r w:rsidRPr="0018688D">
        <w:rPr>
          <w:rtl/>
          <w:lang w:eastAsia="en-US"/>
        </w:rPr>
        <w:t>الخطة الإستراتيجية الموضوعة للمستقبل تعد خطة دينامية؛ لأنها تعمل على سد الفجوات المحتمَلة، وتقدم المتطلبات للمجتمع في المستقبل.</w:t>
      </w:r>
    </w:p>
    <w:p w:rsidR="0018688D" w:rsidRPr="0018688D" w:rsidRDefault="0018688D" w:rsidP="0018688D">
      <w:pPr>
        <w:pStyle w:val="Abstract"/>
        <w:bidi/>
        <w:spacing w:after="0"/>
        <w:ind w:firstLine="173"/>
        <w:rPr>
          <w:rtl/>
          <w:lang w:eastAsia="en-US"/>
        </w:rPr>
      </w:pPr>
      <w:r w:rsidRPr="0018688D">
        <w:rPr>
          <w:rtl/>
          <w:lang w:eastAsia="en-US"/>
        </w:rPr>
        <w:t>الأسلوب الخامس من أساليب الدراسات المستقبلية: هو أسلوب التنبؤ بأسلوب الخريطة الزمنية:</w:t>
      </w:r>
    </w:p>
    <w:p w:rsidR="0018688D" w:rsidRPr="0018688D" w:rsidRDefault="0018688D" w:rsidP="0018688D">
      <w:pPr>
        <w:pStyle w:val="Abstract"/>
        <w:bidi/>
        <w:spacing w:after="0"/>
        <w:ind w:firstLine="173"/>
        <w:rPr>
          <w:rtl/>
          <w:lang w:eastAsia="en-US"/>
        </w:rPr>
      </w:pPr>
      <w:r w:rsidRPr="0018688D">
        <w:rPr>
          <w:rtl/>
          <w:lang w:eastAsia="en-US"/>
        </w:rPr>
        <w:t xml:space="preserve">الخريطة الزمنية من خلالها يتم وضع صورة محددة للمستقبل، قائمة على الأحداث أو تنظيم الأحداث التي يمكن أن تحدث في المستقبل، فهو يتنبأ بتطور العمليات المستقبلية التي تستلزم استخدامات لتكنولوجيا حديثة. </w:t>
      </w:r>
    </w:p>
    <w:p w:rsidR="0018688D" w:rsidRPr="0018688D" w:rsidRDefault="0018688D" w:rsidP="0018688D">
      <w:pPr>
        <w:pStyle w:val="Abstract"/>
        <w:bidi/>
        <w:spacing w:after="0"/>
        <w:ind w:firstLine="173"/>
        <w:rPr>
          <w:rtl/>
          <w:lang w:eastAsia="en-US"/>
        </w:rPr>
      </w:pPr>
      <w:r w:rsidRPr="0018688D">
        <w:rPr>
          <w:rtl/>
          <w:lang w:eastAsia="en-US"/>
        </w:rPr>
        <w:t xml:space="preserve"> الأسلوب السادس: التنبؤ بالأسلوب الإحصائي: </w:t>
      </w:r>
    </w:p>
    <w:p w:rsidR="0018688D" w:rsidRPr="0018688D" w:rsidRDefault="0018688D" w:rsidP="0018688D">
      <w:pPr>
        <w:pStyle w:val="Abstract"/>
        <w:bidi/>
        <w:spacing w:after="0"/>
        <w:ind w:firstLine="173"/>
        <w:rPr>
          <w:rtl/>
          <w:lang w:eastAsia="en-US"/>
        </w:rPr>
      </w:pPr>
      <w:r w:rsidRPr="0018688D">
        <w:rPr>
          <w:rtl/>
          <w:lang w:eastAsia="en-US"/>
        </w:rPr>
        <w:t>أسلوب التنبؤ الإحصائي أثناءَه يعتمد الباحث على متغيرين، أحدهما مجهول تمامًا، والآخر معلوم. المعلوم يعتمد عليه الباحث في التعامل، ونستفيد منه حتى نتنبأ ونصل إلى المتغير المجهول، على أساس أن هناك عَلاقةً تربط بين المتغيرين، أو علاقة ارتباط بين المتغيرين، يستخدم هنا الباحث معادلة تسمى أسلوب معادلة التوقع المستقيم.</w:t>
      </w:r>
    </w:p>
    <w:p w:rsidR="0018688D" w:rsidRPr="0018688D" w:rsidRDefault="0018688D" w:rsidP="0018688D">
      <w:pPr>
        <w:pStyle w:val="Abstract"/>
        <w:bidi/>
        <w:spacing w:after="0"/>
        <w:ind w:firstLine="173"/>
        <w:rPr>
          <w:rtl/>
          <w:lang w:eastAsia="en-US"/>
        </w:rPr>
      </w:pPr>
      <w:r w:rsidRPr="0018688D">
        <w:rPr>
          <w:rtl/>
          <w:lang w:eastAsia="en-US"/>
        </w:rPr>
        <w:t xml:space="preserve">أيضًا يضاف إلى الأساليب الست السابقة: أسلوب النماذج السببية: </w:t>
      </w:r>
    </w:p>
    <w:p w:rsidR="0018688D" w:rsidRPr="0018688D" w:rsidRDefault="0018688D" w:rsidP="0018688D">
      <w:pPr>
        <w:pStyle w:val="Abstract"/>
        <w:bidi/>
        <w:spacing w:after="0"/>
        <w:ind w:firstLine="173"/>
        <w:rPr>
          <w:rtl/>
          <w:lang w:eastAsia="en-US"/>
        </w:rPr>
      </w:pPr>
      <w:r w:rsidRPr="0018688D">
        <w:rPr>
          <w:rtl/>
          <w:lang w:eastAsia="en-US"/>
        </w:rPr>
        <w:t xml:space="preserve">من مسماه نجد أنه يشير إلى كل حدث يتطور من خلال عدد من الأسباب، تقود إلى نتائج محددة ومعينة، وهو نموذج يسمى نموذج المدخلات والمخرجات، تم إدخال بعض العوامل أدت إلى نتائج جديدة، و في إطار الدراسات المستقبلية يصبح المجال أمام الباحثين التربويين هو قضايا التربية والتعليم. </w:t>
      </w:r>
    </w:p>
    <w:p w:rsidR="0018688D" w:rsidRPr="0018688D" w:rsidRDefault="0018688D" w:rsidP="0018688D">
      <w:pPr>
        <w:pStyle w:val="Abstract"/>
        <w:bidi/>
        <w:spacing w:after="0"/>
        <w:ind w:firstLine="173"/>
        <w:rPr>
          <w:rtl/>
          <w:lang w:eastAsia="en-US"/>
        </w:rPr>
      </w:pPr>
      <w:r w:rsidRPr="0018688D">
        <w:rPr>
          <w:rtl/>
          <w:lang w:eastAsia="en-US"/>
        </w:rPr>
        <w:lastRenderedPageBreak/>
        <w:t>المجال أو القضايا المحورية التي يعمل في ضوئها ويعمل بهدفها الباحثون التربويون هو كيفية إعداد التلاميذ لمجتمع الغاب المتغير، ماذا نفعل نحو جعل التعليم العالي جزءًا من التعليم مدى الحياة، أو التعليم المستمر؟ ماذا نفعل تجاه تحذير الإنسان من الأعمال الرتيبة بواسطة التقدم التكنولوجي الحديث؟</w:t>
      </w:r>
    </w:p>
    <w:p w:rsidR="0018688D" w:rsidRPr="0018688D" w:rsidRDefault="0018688D" w:rsidP="0018688D">
      <w:pPr>
        <w:pStyle w:val="Abstract"/>
        <w:bidi/>
        <w:spacing w:after="0"/>
        <w:ind w:firstLine="173"/>
        <w:rPr>
          <w:rtl/>
          <w:lang w:eastAsia="en-US"/>
        </w:rPr>
      </w:pPr>
      <w:r w:rsidRPr="0018688D">
        <w:rPr>
          <w:rtl/>
          <w:lang w:eastAsia="en-US"/>
        </w:rPr>
        <w:t>يضاف إلى الأساليب السابقة: أسلوب التصور:</w:t>
      </w:r>
    </w:p>
    <w:p w:rsidR="0018688D" w:rsidRPr="0018688D" w:rsidRDefault="0018688D" w:rsidP="0018688D">
      <w:pPr>
        <w:pStyle w:val="Abstract"/>
        <w:bidi/>
        <w:spacing w:after="0"/>
        <w:ind w:firstLine="173"/>
        <w:rPr>
          <w:rtl/>
          <w:lang w:eastAsia="en-US"/>
        </w:rPr>
      </w:pPr>
      <w:r w:rsidRPr="0018688D">
        <w:rPr>
          <w:rtl/>
          <w:lang w:eastAsia="en-US"/>
        </w:rPr>
        <w:t xml:space="preserve">ويعد أحدث الأساليب التي تم استخدامها في مجال البحوث التربوية، وفيه يتم التمييز بين التصور والتوقع المحسوب، التوقع المحسوب يعد استقراءً للاتجاهات الموجودة، فيتم التوقع من خلالها بصورة محسوبة، أما التصور يتم تكوين صورة متكاملة للأحداث في فترة زمنية مستقبلية، ونضع في الاعتبار أن الصورة المستقبلية تتأثر بالخيال العلمي وعوامل الابتكار، أما التوقع المحسوب فهو يقوم على إدراك الأحداث من الماضي إلى الحاضر إلى المستقبل فقط، وهو يعتمد على افتراض أن القوى والمؤثرات الماضية والحاضرة سوف تستمر بذلك التأثير، وبتأثيرها المنتظم وبمعدلات منتظمة في المستقبل. </w:t>
      </w:r>
    </w:p>
    <w:p w:rsidR="0018688D" w:rsidRPr="0018688D" w:rsidRDefault="0018688D" w:rsidP="0018688D">
      <w:pPr>
        <w:pStyle w:val="Abstract"/>
        <w:bidi/>
        <w:spacing w:after="0"/>
        <w:ind w:firstLine="173"/>
        <w:rPr>
          <w:rtl/>
          <w:lang w:eastAsia="en-US"/>
        </w:rPr>
      </w:pPr>
      <w:r w:rsidRPr="0018688D">
        <w:rPr>
          <w:rtl/>
          <w:lang w:eastAsia="en-US"/>
        </w:rPr>
        <w:t xml:space="preserve">والتصور -الذي هو موضوع اهتمامنا- له عدد من المنطلقات التي قد لا يصلح بدونها، وأُسس محددة، يعتمد عليها: </w:t>
      </w:r>
    </w:p>
    <w:p w:rsidR="0018688D" w:rsidRPr="0018688D" w:rsidRDefault="0018688D" w:rsidP="0018688D">
      <w:pPr>
        <w:pStyle w:val="Abstract"/>
        <w:bidi/>
        <w:spacing w:after="0"/>
        <w:ind w:firstLine="173"/>
        <w:rPr>
          <w:rtl/>
          <w:lang w:eastAsia="en-US"/>
        </w:rPr>
      </w:pPr>
      <w:r w:rsidRPr="0018688D">
        <w:rPr>
          <w:rtl/>
          <w:lang w:eastAsia="en-US"/>
        </w:rPr>
        <w:t>أولًا: وجود نظرية الأساس النظري: يتم الاعتماد عليها، وينطلق منها التصور وتنبثق منها الأفكار.</w:t>
      </w:r>
    </w:p>
    <w:p w:rsidR="0018688D" w:rsidRPr="0018688D" w:rsidRDefault="0018688D" w:rsidP="0018688D">
      <w:pPr>
        <w:pStyle w:val="Abstract"/>
        <w:bidi/>
        <w:spacing w:after="0"/>
        <w:ind w:firstLine="173"/>
        <w:rPr>
          <w:rtl/>
          <w:lang w:eastAsia="en-US"/>
        </w:rPr>
      </w:pPr>
      <w:r w:rsidRPr="0018688D">
        <w:rPr>
          <w:rtl/>
          <w:lang w:eastAsia="en-US"/>
        </w:rPr>
        <w:t>ثانيًا: أهداف محددة، يجب على الباحث في المجالات المستقبلية بأسلوب التصور أن يتوفر لديه أهداف محددة، إذا تبنى نظرية، ثم وضع أهدافًا واضحة يسعى التصور إلى تحقيق تلك الأهداف، وبدونها لا يصبح للتصور أدنى فائدة موجودة، فما الداعي لعملية البحث بدون أهداف أسعى إلى تحقيقها؟</w:t>
      </w:r>
    </w:p>
    <w:p w:rsidR="0018688D" w:rsidRPr="0018688D" w:rsidRDefault="0018688D" w:rsidP="0018688D">
      <w:pPr>
        <w:pStyle w:val="Abstract"/>
        <w:bidi/>
        <w:spacing w:after="0"/>
        <w:ind w:firstLine="173"/>
        <w:rPr>
          <w:rtl/>
          <w:lang w:eastAsia="en-US"/>
        </w:rPr>
      </w:pPr>
      <w:r w:rsidRPr="0018688D">
        <w:rPr>
          <w:rtl/>
          <w:lang w:eastAsia="en-US"/>
        </w:rPr>
        <w:t>- تحديد الأدوات أو الآليات التي سوف يعمل بها الباحث حتى يتحقق التصور من خلالها.</w:t>
      </w:r>
    </w:p>
    <w:p w:rsidR="0018688D" w:rsidRPr="0018688D" w:rsidRDefault="0018688D" w:rsidP="0018688D">
      <w:pPr>
        <w:pStyle w:val="Abstract"/>
        <w:bidi/>
        <w:spacing w:after="0"/>
        <w:ind w:firstLine="173"/>
        <w:rPr>
          <w:rtl/>
          <w:lang w:eastAsia="en-US"/>
        </w:rPr>
      </w:pPr>
      <w:r w:rsidRPr="0018688D">
        <w:rPr>
          <w:rtl/>
          <w:lang w:eastAsia="en-US"/>
        </w:rPr>
        <w:t>- تحديد العناصر التي يتكون أو يتركب منها هذا التصور.</w:t>
      </w:r>
    </w:p>
    <w:p w:rsidR="0018688D" w:rsidRPr="0018688D" w:rsidRDefault="0018688D" w:rsidP="0018688D">
      <w:pPr>
        <w:pStyle w:val="Abstract"/>
        <w:bidi/>
        <w:spacing w:after="0"/>
        <w:ind w:firstLine="173"/>
        <w:rPr>
          <w:rtl/>
          <w:lang w:eastAsia="en-US"/>
        </w:rPr>
      </w:pPr>
      <w:r w:rsidRPr="0018688D">
        <w:rPr>
          <w:rtl/>
          <w:lang w:eastAsia="en-US"/>
        </w:rPr>
        <w:t>- أيضًا تحديد المرتكزات التي يركن إليها أو يقوم عليها التصور والمقترح حتى يستمر في المستقبل.</w:t>
      </w:r>
    </w:p>
    <w:p w:rsidR="0018688D" w:rsidRPr="0018688D" w:rsidRDefault="0018688D" w:rsidP="0018688D">
      <w:pPr>
        <w:pStyle w:val="Abstract"/>
        <w:bidi/>
        <w:spacing w:after="0"/>
        <w:ind w:firstLine="173"/>
        <w:rPr>
          <w:rtl/>
          <w:lang w:eastAsia="en-US"/>
        </w:rPr>
      </w:pPr>
      <w:r w:rsidRPr="0018688D">
        <w:rPr>
          <w:rtl/>
          <w:lang w:eastAsia="en-US"/>
        </w:rPr>
        <w:t>- تحديد متطلبات ذلك المستقبل: من حيث التمويل، الارتباط في التشريعات والقوانين الموجودة، وما يرتبط أيضًا بذلك التصور من نظام داخل المجتمع، وقيم وعادات وتقاليد.</w:t>
      </w:r>
    </w:p>
    <w:p w:rsidR="0018688D" w:rsidRPr="0018688D" w:rsidRDefault="0018688D" w:rsidP="0018688D">
      <w:pPr>
        <w:pStyle w:val="Abstract"/>
        <w:bidi/>
        <w:spacing w:after="0"/>
        <w:ind w:firstLine="173"/>
        <w:rPr>
          <w:rtl/>
          <w:lang w:eastAsia="en-US"/>
        </w:rPr>
      </w:pPr>
      <w:r w:rsidRPr="0018688D">
        <w:rPr>
          <w:rtl/>
          <w:lang w:eastAsia="en-US"/>
        </w:rPr>
        <w:t xml:space="preserve">- أيضًا تحديد المشكلات: طبيعي أن أي تصور يوضع يواجه بعض مشكلات، يجب على الباحث تحديد المشكلات التي يمكن أن تعترض هذا التصور، وتعترض تطبيقه على أرض الواقع. فأهمية التفكير المسبق بتلك المشكلات لتجنبها ووضع حلول لها، عامل أساسي في عملية البحث بأسلوب التصور؛ لأن هذا جهد يقدمه الباحث، فمن المنطقي ألا يضيع هذا الجهد هَباء، فيجب وضع حلول وأفكار لحل تلك المشكلات التي يمكن أن تواجه أسلوب التصور في المستقبل. </w:t>
      </w:r>
    </w:p>
    <w:p w:rsidR="0018688D" w:rsidRPr="0018688D" w:rsidRDefault="0018688D" w:rsidP="0018688D">
      <w:pPr>
        <w:pStyle w:val="Abstract"/>
        <w:bidi/>
        <w:spacing w:after="0"/>
        <w:ind w:firstLine="173"/>
        <w:rPr>
          <w:rtl/>
          <w:lang w:eastAsia="en-US"/>
        </w:rPr>
      </w:pPr>
      <w:r w:rsidRPr="0018688D">
        <w:rPr>
          <w:rtl/>
          <w:lang w:eastAsia="en-US"/>
        </w:rPr>
        <w:t xml:space="preserve">يجب أن نضع في الاعتبار أن التعليم يواجه تحديات، وعلينا إعداد الأفراد والمجتمع لمواجهة تلك التحديات، فالانفتاح الثقافي والحضاري والعالمي يكلف رجال التربية بالبحث في تصورات مستقبلية بديلة للتعليم تساعد في رفع الأنظمة التعليمية، حتى نتمكن من مواجهة التقدم العلمي بشتى الصور. </w:t>
      </w:r>
    </w:p>
    <w:p w:rsidR="000E2248" w:rsidRPr="00C76949" w:rsidRDefault="0018688D" w:rsidP="0018688D">
      <w:pPr>
        <w:pStyle w:val="Abstract"/>
        <w:bidi/>
        <w:spacing w:after="0"/>
        <w:ind w:firstLine="173"/>
        <w:rPr>
          <w:lang w:eastAsia="en-US"/>
        </w:rPr>
      </w:pPr>
      <w:r w:rsidRPr="0018688D">
        <w:rPr>
          <w:rtl/>
          <w:lang w:eastAsia="en-US"/>
        </w:rPr>
        <w:t>ومما تقدم يتبين لنا أن أسلوب البحث يعتمد على أساليب علمية ونظريات في جمع البيانات، وتخريج تلك النتائج، ومن ثم سوف نبدأ في كيفية جمع البيانات، والتوصل إلى نتائج إحصائية سليمة حتى نستفيد في تعميم تلك النتائج على المجتمع كله.</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3C7" w:rsidRDefault="00A003C7" w:rsidP="000C4416">
      <w:r>
        <w:separator/>
      </w:r>
    </w:p>
  </w:endnote>
  <w:endnote w:type="continuationSeparator" w:id="1">
    <w:p w:rsidR="00A003C7" w:rsidRDefault="00A003C7"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3C7" w:rsidRDefault="00A003C7" w:rsidP="000C4416">
      <w:r>
        <w:separator/>
      </w:r>
    </w:p>
  </w:footnote>
  <w:footnote w:type="continuationSeparator" w:id="1">
    <w:p w:rsidR="00A003C7" w:rsidRDefault="00A003C7"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3648"/>
    <w:rsid w:val="0007783C"/>
    <w:rsid w:val="00097F14"/>
    <w:rsid w:val="000B2055"/>
    <w:rsid w:val="000C212C"/>
    <w:rsid w:val="000C4416"/>
    <w:rsid w:val="000E2248"/>
    <w:rsid w:val="000E4A8C"/>
    <w:rsid w:val="000F0CBC"/>
    <w:rsid w:val="0011170E"/>
    <w:rsid w:val="001418F5"/>
    <w:rsid w:val="001677B7"/>
    <w:rsid w:val="00172029"/>
    <w:rsid w:val="0017791D"/>
    <w:rsid w:val="00180355"/>
    <w:rsid w:val="001835BD"/>
    <w:rsid w:val="00184629"/>
    <w:rsid w:val="0018688D"/>
    <w:rsid w:val="00197B5F"/>
    <w:rsid w:val="001B1FA5"/>
    <w:rsid w:val="001D36A3"/>
    <w:rsid w:val="00207CDC"/>
    <w:rsid w:val="00234877"/>
    <w:rsid w:val="00240CC0"/>
    <w:rsid w:val="00251720"/>
    <w:rsid w:val="00265FEB"/>
    <w:rsid w:val="002752A9"/>
    <w:rsid w:val="0029290A"/>
    <w:rsid w:val="00297415"/>
    <w:rsid w:val="00351835"/>
    <w:rsid w:val="00365FE6"/>
    <w:rsid w:val="00380E9F"/>
    <w:rsid w:val="003908EE"/>
    <w:rsid w:val="003916F3"/>
    <w:rsid w:val="003B5B7D"/>
    <w:rsid w:val="003C3105"/>
    <w:rsid w:val="003D1747"/>
    <w:rsid w:val="003D4DA9"/>
    <w:rsid w:val="003E563B"/>
    <w:rsid w:val="00421602"/>
    <w:rsid w:val="00444EE2"/>
    <w:rsid w:val="00455C43"/>
    <w:rsid w:val="00461F7F"/>
    <w:rsid w:val="0047261F"/>
    <w:rsid w:val="00477ECE"/>
    <w:rsid w:val="004A6804"/>
    <w:rsid w:val="004B0223"/>
    <w:rsid w:val="004F4871"/>
    <w:rsid w:val="00513FDB"/>
    <w:rsid w:val="0052167A"/>
    <w:rsid w:val="00531265"/>
    <w:rsid w:val="005426F1"/>
    <w:rsid w:val="00582DC7"/>
    <w:rsid w:val="005A0FF9"/>
    <w:rsid w:val="005A1979"/>
    <w:rsid w:val="005A3FD3"/>
    <w:rsid w:val="005B334D"/>
    <w:rsid w:val="005E69E1"/>
    <w:rsid w:val="00600B33"/>
    <w:rsid w:val="00612845"/>
    <w:rsid w:val="00614F38"/>
    <w:rsid w:val="00615942"/>
    <w:rsid w:val="006226AB"/>
    <w:rsid w:val="00663599"/>
    <w:rsid w:val="00680242"/>
    <w:rsid w:val="00680673"/>
    <w:rsid w:val="006C03F0"/>
    <w:rsid w:val="006F0791"/>
    <w:rsid w:val="00713EA5"/>
    <w:rsid w:val="0072481B"/>
    <w:rsid w:val="00726A4B"/>
    <w:rsid w:val="007345A3"/>
    <w:rsid w:val="00762E1C"/>
    <w:rsid w:val="00764636"/>
    <w:rsid w:val="00787AE3"/>
    <w:rsid w:val="00791EA8"/>
    <w:rsid w:val="00793A54"/>
    <w:rsid w:val="007C4E09"/>
    <w:rsid w:val="007E18F8"/>
    <w:rsid w:val="007F56D4"/>
    <w:rsid w:val="00810915"/>
    <w:rsid w:val="0081217A"/>
    <w:rsid w:val="0081396F"/>
    <w:rsid w:val="00821F7F"/>
    <w:rsid w:val="0084482D"/>
    <w:rsid w:val="008B01B4"/>
    <w:rsid w:val="008B7296"/>
    <w:rsid w:val="00905FF7"/>
    <w:rsid w:val="00931A4E"/>
    <w:rsid w:val="0093390E"/>
    <w:rsid w:val="009424DB"/>
    <w:rsid w:val="0098735B"/>
    <w:rsid w:val="009A452E"/>
    <w:rsid w:val="009C5067"/>
    <w:rsid w:val="009D438E"/>
    <w:rsid w:val="00A003C7"/>
    <w:rsid w:val="00A05529"/>
    <w:rsid w:val="00A44522"/>
    <w:rsid w:val="00A5227F"/>
    <w:rsid w:val="00A71A81"/>
    <w:rsid w:val="00A7496D"/>
    <w:rsid w:val="00A87AA2"/>
    <w:rsid w:val="00AA6B42"/>
    <w:rsid w:val="00AC2A88"/>
    <w:rsid w:val="00AD34AF"/>
    <w:rsid w:val="00AD4EC9"/>
    <w:rsid w:val="00AE5DD6"/>
    <w:rsid w:val="00AF4CA9"/>
    <w:rsid w:val="00B5552B"/>
    <w:rsid w:val="00B67BC9"/>
    <w:rsid w:val="00B74E68"/>
    <w:rsid w:val="00B96CE5"/>
    <w:rsid w:val="00BA14B1"/>
    <w:rsid w:val="00BD267B"/>
    <w:rsid w:val="00BD4D64"/>
    <w:rsid w:val="00C42C06"/>
    <w:rsid w:val="00C512BB"/>
    <w:rsid w:val="00C66A0C"/>
    <w:rsid w:val="00C76949"/>
    <w:rsid w:val="00CB4B1B"/>
    <w:rsid w:val="00CD596F"/>
    <w:rsid w:val="00CE7BBC"/>
    <w:rsid w:val="00D01C0B"/>
    <w:rsid w:val="00D17F47"/>
    <w:rsid w:val="00D34682"/>
    <w:rsid w:val="00D34C4A"/>
    <w:rsid w:val="00D4340B"/>
    <w:rsid w:val="00D528FE"/>
    <w:rsid w:val="00D6190D"/>
    <w:rsid w:val="00D62FF0"/>
    <w:rsid w:val="00D768DB"/>
    <w:rsid w:val="00D919B7"/>
    <w:rsid w:val="00DA3DBB"/>
    <w:rsid w:val="00DE155D"/>
    <w:rsid w:val="00DF6E09"/>
    <w:rsid w:val="00E10CDA"/>
    <w:rsid w:val="00E42342"/>
    <w:rsid w:val="00E45FDD"/>
    <w:rsid w:val="00E5535F"/>
    <w:rsid w:val="00E62376"/>
    <w:rsid w:val="00E72D31"/>
    <w:rsid w:val="00ED5BC3"/>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50</cp:revision>
  <cp:lastPrinted>2013-04-30T13:38:00Z</cp:lastPrinted>
  <dcterms:created xsi:type="dcterms:W3CDTF">2013-06-12T07:22:00Z</dcterms:created>
  <dcterms:modified xsi:type="dcterms:W3CDTF">2013-07-01T21:36:00Z</dcterms:modified>
</cp:coreProperties>
</file>