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Default="00E859C2" w:rsidP="00E859C2">
      <w:pPr>
        <w:spacing w:line="240" w:lineRule="auto"/>
        <w:jc w:val="center"/>
        <w:rPr>
          <w:i/>
          <w:iCs/>
          <w:rtl/>
        </w:rPr>
      </w:pPr>
      <w:r w:rsidRPr="00E859C2">
        <w:rPr>
          <w:rFonts w:asciiTheme="majorBidi" w:eastAsia="Calibri" w:hAnsiTheme="majorBidi" w:cstheme="majorBidi"/>
          <w:i/>
          <w:iCs/>
          <w:sz w:val="48"/>
          <w:szCs w:val="48"/>
          <w:rtl/>
        </w:rPr>
        <w:t>الفئات الطاعنة في القرآن الكريم في العصر الحديث</w:t>
      </w:r>
    </w:p>
    <w:p w:rsidR="00D53674" w:rsidRPr="00634035" w:rsidRDefault="00D53674" w:rsidP="00D53674">
      <w:pPr>
        <w:pStyle w:val="papersubtitle"/>
        <w:bidi/>
        <w:rPr>
          <w:i/>
          <w:iCs/>
          <w:rtl/>
        </w:rPr>
      </w:pPr>
      <w:r w:rsidRPr="00634035">
        <w:rPr>
          <w:i/>
          <w:iCs/>
          <w:rtl/>
        </w:rPr>
        <w:t xml:space="preserve">بحث  فى </w:t>
      </w:r>
      <w:r w:rsidRPr="00634035">
        <w:rPr>
          <w:rFonts w:hint="cs"/>
          <w:i/>
          <w:iCs/>
          <w:rtl/>
        </w:rPr>
        <w:t>دفاع عن القراَن</w:t>
      </w:r>
    </w:p>
    <w:p w:rsidR="00D53674" w:rsidRPr="009264EA" w:rsidRDefault="00D53674" w:rsidP="00D53674">
      <w:pPr>
        <w:pStyle w:val="papersubtitle"/>
        <w:bidi/>
        <w:rPr>
          <w:i/>
          <w:iCs/>
          <w:sz w:val="24"/>
          <w:szCs w:val="24"/>
        </w:rPr>
      </w:pPr>
      <w:r w:rsidRPr="009264EA">
        <w:rPr>
          <w:i/>
          <w:iCs/>
          <w:sz w:val="24"/>
          <w:szCs w:val="24"/>
          <w:rtl/>
        </w:rPr>
        <w:t xml:space="preserve">إعداد أ/ </w:t>
      </w:r>
      <w:r w:rsidRPr="002B0C9E">
        <w:rPr>
          <w:rFonts w:hint="cs"/>
          <w:i/>
          <w:iCs/>
          <w:sz w:val="24"/>
          <w:szCs w:val="24"/>
          <w:rtl/>
        </w:rPr>
        <w:t>شيماء</w:t>
      </w:r>
      <w:r w:rsidRPr="002B0C9E">
        <w:rPr>
          <w:i/>
          <w:iCs/>
          <w:sz w:val="24"/>
          <w:szCs w:val="24"/>
          <w:rtl/>
        </w:rPr>
        <w:t xml:space="preserve"> </w:t>
      </w:r>
      <w:r w:rsidRPr="002B0C9E">
        <w:rPr>
          <w:rFonts w:hint="cs"/>
          <w:i/>
          <w:iCs/>
          <w:sz w:val="24"/>
          <w:szCs w:val="24"/>
          <w:rtl/>
        </w:rPr>
        <w:t>عبد</w:t>
      </w:r>
      <w:r w:rsidRPr="002B0C9E">
        <w:rPr>
          <w:i/>
          <w:iCs/>
          <w:sz w:val="24"/>
          <w:szCs w:val="24"/>
          <w:rtl/>
        </w:rPr>
        <w:t xml:space="preserve"> </w:t>
      </w:r>
      <w:r w:rsidRPr="002B0C9E">
        <w:rPr>
          <w:rFonts w:hint="cs"/>
          <w:i/>
          <w:iCs/>
          <w:sz w:val="24"/>
          <w:szCs w:val="24"/>
          <w:rtl/>
        </w:rPr>
        <w:t>المجيد</w:t>
      </w:r>
      <w:r w:rsidRPr="002B0C9E">
        <w:rPr>
          <w:i/>
          <w:iCs/>
          <w:sz w:val="24"/>
          <w:szCs w:val="24"/>
          <w:rtl/>
        </w:rPr>
        <w:t xml:space="preserve"> </w:t>
      </w:r>
      <w:r w:rsidRPr="002B0C9E">
        <w:rPr>
          <w:rFonts w:hint="cs"/>
          <w:i/>
          <w:iCs/>
          <w:sz w:val="24"/>
          <w:szCs w:val="24"/>
          <w:rtl/>
        </w:rPr>
        <w:t>محمد</w:t>
      </w:r>
      <w:r w:rsidRPr="002B0C9E">
        <w:rPr>
          <w:i/>
          <w:iCs/>
          <w:sz w:val="24"/>
          <w:szCs w:val="24"/>
          <w:rtl/>
        </w:rPr>
        <w:t xml:space="preserve"> </w:t>
      </w:r>
      <w:r w:rsidRPr="002B0C9E">
        <w:rPr>
          <w:rFonts w:hint="cs"/>
          <w:i/>
          <w:iCs/>
          <w:sz w:val="24"/>
          <w:szCs w:val="24"/>
          <w:rtl/>
        </w:rPr>
        <w:t>زهران</w:t>
      </w:r>
    </w:p>
    <w:p w:rsidR="00D53674" w:rsidRPr="009264EA" w:rsidRDefault="00D53674" w:rsidP="00D53674">
      <w:pPr>
        <w:pStyle w:val="papersubtitle"/>
        <w:bidi/>
        <w:rPr>
          <w:i/>
          <w:iCs/>
          <w:sz w:val="22"/>
          <w:szCs w:val="22"/>
        </w:rPr>
      </w:pPr>
      <w:r w:rsidRPr="009264EA">
        <w:rPr>
          <w:i/>
          <w:iCs/>
          <w:sz w:val="22"/>
          <w:szCs w:val="22"/>
          <w:rtl/>
        </w:rPr>
        <w:t>قسم</w:t>
      </w:r>
      <w:r>
        <w:rPr>
          <w:rFonts w:hint="cs"/>
          <w:i/>
          <w:iCs/>
          <w:sz w:val="22"/>
          <w:szCs w:val="22"/>
          <w:rtl/>
        </w:rPr>
        <w:t xml:space="preserve"> التفسير وعلوم القراَن</w:t>
      </w:r>
    </w:p>
    <w:p w:rsidR="00D53674" w:rsidRPr="009264EA" w:rsidRDefault="00D53674" w:rsidP="00D53674">
      <w:pPr>
        <w:pStyle w:val="papersubtitle"/>
        <w:bidi/>
        <w:rPr>
          <w:i/>
          <w:iCs/>
          <w:sz w:val="22"/>
          <w:szCs w:val="22"/>
        </w:rPr>
      </w:pPr>
      <w:r w:rsidRPr="009264EA">
        <w:rPr>
          <w:i/>
          <w:iCs/>
          <w:sz w:val="22"/>
          <w:szCs w:val="22"/>
          <w:rtl/>
        </w:rPr>
        <w:t>كلية ال</w:t>
      </w:r>
      <w:r w:rsidRPr="009264EA">
        <w:rPr>
          <w:rFonts w:hint="cs"/>
          <w:i/>
          <w:iCs/>
          <w:sz w:val="22"/>
          <w:szCs w:val="22"/>
          <w:rtl/>
        </w:rPr>
        <w:t>علوم الإسلامية</w:t>
      </w:r>
      <w:r w:rsidRPr="009264EA">
        <w:rPr>
          <w:i/>
          <w:iCs/>
          <w:sz w:val="22"/>
          <w:szCs w:val="22"/>
          <w:rtl/>
        </w:rPr>
        <w:t xml:space="preserve"> – جامعة المدينة العالمية</w:t>
      </w:r>
    </w:p>
    <w:p w:rsidR="00D53674" w:rsidRPr="009264EA" w:rsidRDefault="00D53674" w:rsidP="00D53674">
      <w:pPr>
        <w:pStyle w:val="papersubtitle"/>
        <w:bidi/>
        <w:rPr>
          <w:i/>
          <w:iCs/>
          <w:sz w:val="22"/>
          <w:szCs w:val="22"/>
          <w:rtl/>
        </w:rPr>
      </w:pPr>
      <w:r w:rsidRPr="009264EA">
        <w:rPr>
          <w:i/>
          <w:iCs/>
          <w:sz w:val="22"/>
          <w:szCs w:val="22"/>
          <w:rtl/>
        </w:rPr>
        <w:t>شاه علم – ماليزيا</w:t>
      </w:r>
    </w:p>
    <w:p w:rsidR="00D53674" w:rsidRDefault="00D53674" w:rsidP="00D53674">
      <w:pPr>
        <w:spacing w:after="120"/>
        <w:jc w:val="center"/>
        <w:rPr>
          <w:rFonts w:asciiTheme="majorBidi" w:hAnsiTheme="majorBidi" w:cstheme="majorBidi" w:hint="cs"/>
          <w:b/>
          <w:bCs/>
          <w:sz w:val="20"/>
          <w:szCs w:val="20"/>
          <w:rtl/>
          <w:lang w:bidi="ar-EG"/>
        </w:rPr>
      </w:pPr>
      <w:r w:rsidRPr="002B0C9E">
        <w:rPr>
          <w:rFonts w:asciiTheme="majorBidi" w:hAnsiTheme="majorBidi" w:cs="AL-Hotham"/>
          <w:i/>
          <w:iCs/>
        </w:rPr>
        <w:t>shaimaa.abdelmajeed@mediu.edu.my</w:t>
      </w:r>
    </w:p>
    <w:p w:rsidR="00D53674" w:rsidRDefault="00D53674" w:rsidP="00D53674">
      <w:pPr>
        <w:spacing w:after="120"/>
        <w:jc w:val="center"/>
        <w:rPr>
          <w:rFonts w:asciiTheme="majorBidi" w:hAnsiTheme="majorBidi" w:cstheme="majorBidi" w:hint="cs"/>
          <w:b/>
          <w:bCs/>
          <w:sz w:val="20"/>
          <w:szCs w:val="20"/>
          <w:rtl/>
          <w:lang w:bidi="ar-EG"/>
        </w:rPr>
      </w:pPr>
    </w:p>
    <w:p w:rsidR="00E859C2" w:rsidRDefault="00E859C2" w:rsidP="00E859C2">
      <w:pPr>
        <w:spacing w:after="120" w:line="240" w:lineRule="auto"/>
        <w:rPr>
          <w:rFonts w:asciiTheme="majorBidi" w:hAnsiTheme="majorBidi" w:cstheme="majorBidi"/>
          <w:b/>
          <w:bCs/>
          <w:sz w:val="20"/>
          <w:szCs w:val="20"/>
          <w:rtl/>
          <w:lang w:bidi="ar-EG"/>
        </w:rPr>
        <w:sectPr w:rsidR="00E859C2" w:rsidSect="00BF7572">
          <w:pgSz w:w="11906" w:h="16838"/>
          <w:pgMar w:top="964" w:right="1021" w:bottom="964" w:left="1021" w:header="709" w:footer="709" w:gutter="0"/>
          <w:cols w:space="708"/>
          <w:bidi/>
          <w:rtlGutter/>
          <w:docGrid w:linePitch="360"/>
        </w:sectPr>
      </w:pPr>
    </w:p>
    <w:p w:rsidR="00E859C2" w:rsidRPr="00E859C2" w:rsidRDefault="00E859C2" w:rsidP="00E859C2">
      <w:pPr>
        <w:spacing w:after="120" w:line="240" w:lineRule="auto"/>
        <w:rPr>
          <w:rFonts w:asciiTheme="majorBidi" w:hAnsiTheme="majorBidi" w:cstheme="majorBidi"/>
          <w:b/>
          <w:bCs/>
          <w:sz w:val="20"/>
          <w:szCs w:val="20"/>
          <w:rtl/>
          <w:lang w:bidi="ar-EG"/>
        </w:rPr>
      </w:pPr>
      <w:r w:rsidRPr="00E859C2">
        <w:rPr>
          <w:rFonts w:asciiTheme="majorBidi" w:hAnsiTheme="majorBidi" w:cstheme="majorBidi"/>
          <w:b/>
          <w:bCs/>
          <w:sz w:val="20"/>
          <w:szCs w:val="20"/>
          <w:rtl/>
        </w:rPr>
        <w:lastRenderedPageBreak/>
        <w:t xml:space="preserve">خلاصة ـــ هذا البحث يبحث في </w:t>
      </w:r>
      <w:r w:rsidRPr="00E859C2">
        <w:rPr>
          <w:rFonts w:asciiTheme="majorBidi" w:eastAsia="Calibri" w:hAnsiTheme="majorBidi" w:cstheme="majorBidi"/>
          <w:b/>
          <w:bCs/>
          <w:sz w:val="20"/>
          <w:szCs w:val="20"/>
          <w:rtl/>
        </w:rPr>
        <w:t>الفئات الطاعنة في القرآن الكريم في العصر الحديث</w:t>
      </w:r>
    </w:p>
    <w:p w:rsidR="00E859C2" w:rsidRPr="00E859C2" w:rsidRDefault="00E859C2" w:rsidP="00E859C2">
      <w:pPr>
        <w:spacing w:after="120" w:line="240" w:lineRule="auto"/>
        <w:rPr>
          <w:rFonts w:asciiTheme="majorBidi" w:hAnsiTheme="majorBidi" w:cstheme="majorBidi"/>
          <w:b/>
          <w:bCs/>
          <w:sz w:val="20"/>
          <w:szCs w:val="20"/>
          <w:rtl/>
          <w:lang w:bidi="ar-EG"/>
        </w:rPr>
      </w:pPr>
      <w:r w:rsidRPr="00E859C2">
        <w:rPr>
          <w:rFonts w:asciiTheme="majorBidi" w:hAnsiTheme="majorBidi" w:cstheme="majorBidi"/>
          <w:b/>
          <w:bCs/>
          <w:sz w:val="20"/>
          <w:szCs w:val="20"/>
          <w:rtl/>
        </w:rPr>
        <w:t xml:space="preserve">الكلمات المفتاحية : </w:t>
      </w:r>
      <w:r w:rsidRPr="00E859C2">
        <w:rPr>
          <w:rFonts w:asciiTheme="majorBidi" w:hAnsiTheme="majorBidi" w:cstheme="majorBidi"/>
          <w:b/>
          <w:bCs/>
          <w:sz w:val="20"/>
          <w:szCs w:val="20"/>
          <w:rtl/>
          <w:lang w:bidi="ar-EG"/>
        </w:rPr>
        <w:t xml:space="preserve">الفئات </w:t>
      </w:r>
      <w:r w:rsidRPr="00E859C2">
        <w:rPr>
          <w:rFonts w:asciiTheme="majorBidi" w:hAnsiTheme="majorBidi" w:cstheme="majorBidi"/>
          <w:b/>
          <w:bCs/>
          <w:sz w:val="20"/>
          <w:szCs w:val="20"/>
          <w:rtl/>
        </w:rPr>
        <w:t>،</w:t>
      </w:r>
      <w:r w:rsidRPr="00E859C2">
        <w:rPr>
          <w:rFonts w:asciiTheme="majorBidi" w:hAnsiTheme="majorBidi" w:cstheme="majorBidi"/>
          <w:b/>
          <w:bCs/>
          <w:sz w:val="20"/>
          <w:szCs w:val="20"/>
          <w:rtl/>
          <w:lang w:bidi="ar-EG"/>
        </w:rPr>
        <w:t xml:space="preserve"> القرآن</w:t>
      </w:r>
      <w:r w:rsidRPr="00E859C2">
        <w:rPr>
          <w:rFonts w:asciiTheme="majorBidi" w:hAnsiTheme="majorBidi" w:cstheme="majorBidi"/>
          <w:b/>
          <w:bCs/>
          <w:sz w:val="20"/>
          <w:szCs w:val="20"/>
          <w:rtl/>
        </w:rPr>
        <w:t xml:space="preserve"> ، </w:t>
      </w:r>
      <w:r w:rsidRPr="00E859C2">
        <w:rPr>
          <w:rFonts w:asciiTheme="majorBidi" w:hAnsiTheme="majorBidi" w:cstheme="majorBidi"/>
          <w:b/>
          <w:bCs/>
          <w:sz w:val="20"/>
          <w:szCs w:val="20"/>
          <w:rtl/>
          <w:lang w:bidi="ar-EG"/>
        </w:rPr>
        <w:t>المصطلحات</w:t>
      </w:r>
    </w:p>
    <w:p w:rsidR="00E859C2" w:rsidRPr="00E859C2" w:rsidRDefault="00E859C2" w:rsidP="00E859C2">
      <w:pPr>
        <w:pStyle w:val="ListParagraph"/>
        <w:numPr>
          <w:ilvl w:val="0"/>
          <w:numId w:val="1"/>
        </w:numPr>
        <w:spacing w:after="120"/>
        <w:jc w:val="center"/>
        <w:rPr>
          <w:rFonts w:asciiTheme="majorBidi" w:hAnsiTheme="majorBidi" w:cstheme="majorBidi"/>
          <w:b/>
          <w:bCs/>
          <w:sz w:val="20"/>
          <w:szCs w:val="20"/>
          <w:rtl/>
        </w:rPr>
      </w:pPr>
      <w:r w:rsidRPr="00E859C2">
        <w:rPr>
          <w:rFonts w:asciiTheme="majorBidi" w:hAnsiTheme="majorBidi" w:cstheme="majorBidi"/>
          <w:b/>
          <w:bCs/>
          <w:sz w:val="20"/>
          <w:szCs w:val="20"/>
          <w:rtl/>
        </w:rPr>
        <w:t>المقدمة</w:t>
      </w:r>
    </w:p>
    <w:p w:rsidR="00E859C2" w:rsidRPr="00E859C2" w:rsidRDefault="00E859C2" w:rsidP="00E859C2">
      <w:pPr>
        <w:pStyle w:val="NormalWeb"/>
        <w:bidi/>
        <w:spacing w:before="0" w:beforeAutospacing="0" w:after="120" w:afterAutospacing="0"/>
        <w:jc w:val="lowKashida"/>
        <w:rPr>
          <w:rFonts w:asciiTheme="majorBidi" w:hAnsiTheme="majorBidi" w:cstheme="majorBidi"/>
          <w:b/>
          <w:bCs/>
          <w:sz w:val="20"/>
          <w:szCs w:val="20"/>
          <w:rtl/>
        </w:rPr>
      </w:pPr>
      <w:r w:rsidRPr="00E859C2">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E859C2">
        <w:rPr>
          <w:rFonts w:asciiTheme="majorBidi" w:eastAsia="Calibri" w:hAnsiTheme="majorBidi" w:cstheme="majorBidi"/>
          <w:b/>
          <w:bCs/>
          <w:sz w:val="20"/>
          <w:szCs w:val="20"/>
          <w:rtl/>
        </w:rPr>
        <w:t>الفئات الطاعنة في القرآن الكريم في العصر الحديث</w:t>
      </w:r>
    </w:p>
    <w:p w:rsidR="00E859C2" w:rsidRPr="00E859C2" w:rsidRDefault="00E859C2" w:rsidP="00E859C2">
      <w:pPr>
        <w:pStyle w:val="NormalWeb"/>
        <w:numPr>
          <w:ilvl w:val="0"/>
          <w:numId w:val="1"/>
        </w:numPr>
        <w:bidi/>
        <w:spacing w:before="0" w:beforeAutospacing="0" w:after="120" w:afterAutospacing="0"/>
        <w:jc w:val="center"/>
        <w:rPr>
          <w:rFonts w:asciiTheme="majorBidi" w:hAnsiTheme="majorBidi" w:cstheme="majorBidi"/>
          <w:b/>
          <w:bCs/>
          <w:sz w:val="20"/>
          <w:szCs w:val="20"/>
          <w:rtl/>
        </w:rPr>
      </w:pPr>
      <w:r w:rsidRPr="00E859C2">
        <w:rPr>
          <w:rFonts w:asciiTheme="majorBidi" w:hAnsiTheme="majorBidi" w:cstheme="majorBidi"/>
          <w:b/>
          <w:bCs/>
          <w:sz w:val="20"/>
          <w:szCs w:val="20"/>
          <w:rtl/>
        </w:rPr>
        <w:t>عنوان المقال</w:t>
      </w:r>
    </w:p>
    <w:p w:rsidR="00E859C2" w:rsidRPr="00E859C2" w:rsidRDefault="00E859C2" w:rsidP="00E859C2">
      <w:pPr>
        <w:pStyle w:val="NormalWeb"/>
        <w:bidi/>
        <w:spacing w:before="0" w:beforeAutospacing="0" w:after="120" w:afterAutospacing="0"/>
        <w:jc w:val="lowKashida"/>
        <w:rPr>
          <w:rFonts w:asciiTheme="majorBidi" w:hAnsiTheme="majorBidi" w:cstheme="majorBidi"/>
          <w:b/>
          <w:bCs/>
          <w:sz w:val="20"/>
          <w:szCs w:val="20"/>
          <w:rtl/>
        </w:rPr>
      </w:pPr>
      <w:r w:rsidRPr="00E859C2">
        <w:rPr>
          <w:rFonts w:asciiTheme="majorBidi" w:hAnsiTheme="majorBidi" w:cstheme="majorBidi"/>
          <w:b/>
          <w:bCs/>
          <w:sz w:val="20"/>
          <w:szCs w:val="20"/>
          <w:rtl/>
          <w:lang w:bidi="ar-EG"/>
        </w:rPr>
        <w:t>بعد الكلام على هذه المصطلحات التي تُرادف مصطلح الطعن في القرآن أنتقل بعد ذلك للكلام على التعريف بأبرز الفئات الطاعنة في القرآن في العصر الحديث:</w:t>
      </w:r>
    </w:p>
    <w:p w:rsidR="00E859C2" w:rsidRPr="00E859C2" w:rsidRDefault="00E859C2" w:rsidP="00E859C2">
      <w:pPr>
        <w:pStyle w:val="NormalWeb"/>
        <w:bidi/>
        <w:spacing w:before="0" w:beforeAutospacing="0" w:after="120" w:afterAutospacing="0"/>
        <w:jc w:val="lowKashida"/>
        <w:rPr>
          <w:rFonts w:asciiTheme="majorBidi" w:hAnsiTheme="majorBidi" w:cstheme="majorBidi"/>
          <w:b/>
          <w:bCs/>
          <w:sz w:val="20"/>
          <w:szCs w:val="20"/>
          <w:rtl/>
        </w:rPr>
      </w:pPr>
      <w:r w:rsidRPr="00E859C2">
        <w:rPr>
          <w:rFonts w:asciiTheme="majorBidi" w:hAnsiTheme="majorBidi" w:cstheme="majorBidi"/>
          <w:b/>
          <w:bCs/>
          <w:sz w:val="20"/>
          <w:szCs w:val="20"/>
          <w:rtl/>
          <w:lang w:bidi="ar-EG"/>
        </w:rPr>
        <w:t xml:space="preserve">الطاعنون في كتاب الله هم المُشكِّكون فيه، الذين يُوردون عليه الشُّبَه، والإشكالات، والاضطرابات، يُريدون بذلك إسقاط قُدسية القرآن من قلوب المسلمين، وذلك لأن القرآن هو قطب رَحَى المسلمين الذي عليه يدُورون، وهو العروة الوثقى التي بها يتمسَّكون، وهو المورد العذب الذي إليه يردون ومنه يصدرون، وهو أساس الإسلام وركن الشريعة الركين، الذي إذا سقط؛ سقط كل البناء، وتهدَّم الصرح، وقُوِّض الإسلام، ولم تبق للمسلمين باقية ولا قوة. </w:t>
      </w:r>
    </w:p>
    <w:p w:rsidR="00E859C2" w:rsidRPr="00E859C2" w:rsidRDefault="00E859C2" w:rsidP="00E859C2">
      <w:pPr>
        <w:pStyle w:val="NormalWeb"/>
        <w:bidi/>
        <w:spacing w:before="0" w:beforeAutospacing="0" w:after="120" w:afterAutospacing="0"/>
        <w:jc w:val="lowKashida"/>
        <w:rPr>
          <w:rFonts w:asciiTheme="majorBidi" w:hAnsiTheme="majorBidi" w:cstheme="majorBidi"/>
          <w:b/>
          <w:bCs/>
          <w:sz w:val="20"/>
          <w:szCs w:val="20"/>
          <w:rtl/>
        </w:rPr>
      </w:pPr>
      <w:r w:rsidRPr="00E859C2">
        <w:rPr>
          <w:rFonts w:asciiTheme="majorBidi" w:hAnsiTheme="majorBidi" w:cstheme="majorBidi"/>
          <w:b/>
          <w:bCs/>
          <w:sz w:val="20"/>
          <w:szCs w:val="20"/>
          <w:rtl/>
          <w:lang w:bidi="ar-EG"/>
        </w:rPr>
        <w:t>وقد كثر الطاعنون في كل قرن، ولكننا في هذا العصر الحديث نتكلم عن أبرز صنفين من أصناف الطاعنين للقرآن في هذا العصر، ألا وهما: الصنف الأول: المستشرقون، الصنف الثاني: العلمانيون، وهم تلاميذ المستشرقين، وكذلك يصحُّ أن نُلقبهم بلقب العقلانيون، وفيما يلي نبذة مختصرة عن كل منهما:</w:t>
      </w:r>
    </w:p>
    <w:p w:rsidR="00E859C2" w:rsidRPr="00E859C2" w:rsidRDefault="00E859C2" w:rsidP="00E859C2">
      <w:pPr>
        <w:pStyle w:val="NormalWeb"/>
        <w:bidi/>
        <w:spacing w:before="0" w:beforeAutospacing="0" w:after="120" w:afterAutospacing="0"/>
        <w:jc w:val="lowKashida"/>
        <w:rPr>
          <w:rFonts w:asciiTheme="majorBidi" w:hAnsiTheme="majorBidi" w:cstheme="majorBidi"/>
          <w:b/>
          <w:bCs/>
          <w:sz w:val="20"/>
          <w:szCs w:val="20"/>
          <w:rtl/>
        </w:rPr>
      </w:pPr>
      <w:r w:rsidRPr="00E859C2">
        <w:rPr>
          <w:rFonts w:asciiTheme="majorBidi" w:hAnsiTheme="majorBidi" w:cstheme="majorBidi"/>
          <w:b/>
          <w:bCs/>
          <w:color w:val="000080"/>
          <w:sz w:val="20"/>
          <w:szCs w:val="20"/>
          <w:rtl/>
          <w:lang w:bidi="ar-EG"/>
        </w:rPr>
        <w:t>أولًا: المستشرقون:</w:t>
      </w:r>
      <w:r w:rsidRPr="00E859C2">
        <w:rPr>
          <w:rFonts w:asciiTheme="majorBidi" w:hAnsiTheme="majorBidi" w:cstheme="majorBidi"/>
          <w:b/>
          <w:bCs/>
          <w:sz w:val="20"/>
          <w:szCs w:val="20"/>
          <w:rtl/>
          <w:lang w:bidi="ar-EG"/>
        </w:rPr>
        <w:t xml:space="preserve"> الاستشراق هو تعبير يدل على الاتجاه نحو الشرق، ويُطلق على كل من يبحث في أمور الشرقيين وثقافتهم، وتاريخهم، ويُقصد به ذلك التيار الفكري الذي يتمثَّل في إجراء الدراسات المختلفة عن الشرق، والتي تشمل حضارته، وآدابه، ولغاته، وثقافته. واستُغلَّ في أكثر مراحله لخدمة الاستعمار وتشويه تعاليم الدين، ولقد نشأ هذا الفكر عندما عجز النصارى عن مواجهة المسلمين بالسيف، فرأوا أن أفضل طريقة لمحاربة المسلمين هي الغزو الفكري، ولهم في ذلك طُرق كثيرة للوصول إلى أهدافهم تلك، من هذه الطرق: تأليف الكتب، وإصدار المجلات، وإلقاء المحاضرات في المنتديات عن الإسلام، والقرآن والسنة، وتاريخ المسلمين، وإنشاء الجمعيات والمراكز التي تخدم أغراضهم، وعقد المؤتمرات السرية والعلنية، وإنشاء موسوعة دائرة المعارف الإسلامية، وإرسال البعثات، وإنشاء جامعات وكليات غربية في بلاد الشرق.. وغير ذلك من الوسائل التي لها آثارها إما سلبي وإما إيجابي، ولكن أكثر هذه الآثار يُعدُّ من الآثار السلبية.</w:t>
      </w:r>
    </w:p>
    <w:p w:rsidR="00E859C2" w:rsidRPr="00E859C2" w:rsidRDefault="00E859C2" w:rsidP="00E859C2">
      <w:pPr>
        <w:pStyle w:val="NormalWeb"/>
        <w:bidi/>
        <w:jc w:val="lowKashida"/>
        <w:rPr>
          <w:rFonts w:asciiTheme="majorBidi" w:hAnsiTheme="majorBidi" w:cstheme="majorBidi"/>
          <w:b/>
          <w:bCs/>
          <w:color w:val="000080"/>
          <w:sz w:val="20"/>
          <w:szCs w:val="20"/>
          <w:rtl/>
        </w:rPr>
      </w:pPr>
      <w:r w:rsidRPr="00E859C2">
        <w:rPr>
          <w:rFonts w:asciiTheme="majorBidi" w:hAnsiTheme="majorBidi" w:cstheme="majorBidi"/>
          <w:b/>
          <w:bCs/>
          <w:color w:val="000080"/>
          <w:sz w:val="20"/>
          <w:szCs w:val="20"/>
          <w:rtl/>
          <w:lang w:bidi="ar-EG"/>
        </w:rPr>
        <w:t xml:space="preserve">فمن الآثار السلبية: </w:t>
      </w:r>
    </w:p>
    <w:p w:rsidR="00E859C2" w:rsidRPr="00E859C2" w:rsidRDefault="00E859C2" w:rsidP="00E859C2">
      <w:pPr>
        <w:pStyle w:val="NormalWeb"/>
        <w:bidi/>
        <w:spacing w:before="0" w:beforeAutospacing="0" w:after="120" w:afterAutospacing="0"/>
        <w:jc w:val="lowKashida"/>
        <w:rPr>
          <w:rFonts w:asciiTheme="majorBidi" w:hAnsiTheme="majorBidi" w:cstheme="majorBidi"/>
          <w:b/>
          <w:bCs/>
          <w:sz w:val="20"/>
          <w:szCs w:val="20"/>
          <w:rtl/>
        </w:rPr>
      </w:pPr>
      <w:r w:rsidRPr="00E859C2">
        <w:rPr>
          <w:rFonts w:asciiTheme="majorBidi" w:hAnsiTheme="majorBidi" w:cstheme="majorBidi"/>
          <w:b/>
          <w:bCs/>
          <w:sz w:val="20"/>
          <w:szCs w:val="20"/>
          <w:rtl/>
          <w:lang w:bidi="ar-EG"/>
        </w:rPr>
        <w:t>الطعن في القرآن والسنة، وهما مصدر التشريع في الدين.</w:t>
      </w:r>
    </w:p>
    <w:p w:rsidR="00E859C2" w:rsidRPr="00E859C2" w:rsidRDefault="00E859C2" w:rsidP="00E859C2">
      <w:pPr>
        <w:pStyle w:val="NormalWeb"/>
        <w:bidi/>
        <w:spacing w:before="0" w:beforeAutospacing="0" w:after="120" w:afterAutospacing="0"/>
        <w:jc w:val="lowKashida"/>
        <w:rPr>
          <w:rFonts w:asciiTheme="majorBidi" w:hAnsiTheme="majorBidi" w:cstheme="majorBidi"/>
          <w:b/>
          <w:bCs/>
          <w:sz w:val="20"/>
          <w:szCs w:val="20"/>
          <w:rtl/>
        </w:rPr>
      </w:pPr>
      <w:r w:rsidRPr="00E859C2">
        <w:rPr>
          <w:rFonts w:asciiTheme="majorBidi" w:hAnsiTheme="majorBidi" w:cstheme="majorBidi"/>
          <w:b/>
          <w:bCs/>
          <w:sz w:val="20"/>
          <w:szCs w:val="20"/>
          <w:rtl/>
          <w:lang w:bidi="ar-EG"/>
        </w:rPr>
        <w:t>كذلك من الآثار السلبية محاولة إحياء الفرق المنحرفة الميتة.</w:t>
      </w:r>
    </w:p>
    <w:p w:rsidR="00E859C2" w:rsidRPr="00E859C2" w:rsidRDefault="00E859C2" w:rsidP="00E859C2">
      <w:pPr>
        <w:pStyle w:val="NormalWeb"/>
        <w:bidi/>
        <w:spacing w:before="0" w:beforeAutospacing="0" w:after="120" w:afterAutospacing="0"/>
        <w:jc w:val="lowKashida"/>
        <w:rPr>
          <w:rFonts w:asciiTheme="majorBidi" w:hAnsiTheme="majorBidi" w:cstheme="majorBidi"/>
          <w:b/>
          <w:bCs/>
          <w:sz w:val="20"/>
          <w:szCs w:val="20"/>
          <w:rtl/>
        </w:rPr>
      </w:pPr>
      <w:r w:rsidRPr="00E859C2">
        <w:rPr>
          <w:rFonts w:asciiTheme="majorBidi" w:hAnsiTheme="majorBidi" w:cstheme="majorBidi"/>
          <w:b/>
          <w:bCs/>
          <w:sz w:val="20"/>
          <w:szCs w:val="20"/>
          <w:rtl/>
          <w:lang w:bidi="ar-EG"/>
        </w:rPr>
        <w:lastRenderedPageBreak/>
        <w:t>كذلك صدُّ الناس عن الإسلام بتشويه تعاليمه كما فعلت الموسوعة البريطانية.</w:t>
      </w:r>
    </w:p>
    <w:p w:rsidR="00E859C2" w:rsidRPr="00E859C2" w:rsidRDefault="00E859C2" w:rsidP="00E859C2">
      <w:pPr>
        <w:pStyle w:val="NormalWeb"/>
        <w:bidi/>
        <w:spacing w:before="0" w:beforeAutospacing="0" w:after="120" w:afterAutospacing="0"/>
        <w:jc w:val="lowKashida"/>
        <w:rPr>
          <w:rFonts w:asciiTheme="majorBidi" w:hAnsiTheme="majorBidi" w:cstheme="majorBidi"/>
          <w:b/>
          <w:bCs/>
          <w:sz w:val="20"/>
          <w:szCs w:val="20"/>
          <w:rtl/>
        </w:rPr>
      </w:pPr>
      <w:r w:rsidRPr="00E859C2">
        <w:rPr>
          <w:rFonts w:asciiTheme="majorBidi" w:hAnsiTheme="majorBidi" w:cstheme="majorBidi"/>
          <w:b/>
          <w:bCs/>
          <w:sz w:val="20"/>
          <w:szCs w:val="20"/>
          <w:rtl/>
          <w:lang w:bidi="ar-EG"/>
        </w:rPr>
        <w:t>كذلك إخراج جيل من أبناء المسلمين مُنسلِخ عن دينه، بل مُحارب له.</w:t>
      </w:r>
    </w:p>
    <w:p w:rsidR="00E859C2" w:rsidRPr="00E859C2" w:rsidRDefault="00E859C2" w:rsidP="00E859C2">
      <w:pPr>
        <w:pStyle w:val="NormalWeb"/>
        <w:bidi/>
        <w:spacing w:before="0" w:beforeAutospacing="0" w:after="120" w:afterAutospacing="0"/>
        <w:jc w:val="lowKashida"/>
        <w:rPr>
          <w:rFonts w:asciiTheme="majorBidi" w:hAnsiTheme="majorBidi" w:cstheme="majorBidi"/>
          <w:b/>
          <w:bCs/>
          <w:sz w:val="20"/>
          <w:szCs w:val="20"/>
          <w:rtl/>
        </w:rPr>
      </w:pPr>
      <w:r w:rsidRPr="00E859C2">
        <w:rPr>
          <w:rFonts w:asciiTheme="majorBidi" w:hAnsiTheme="majorBidi" w:cstheme="majorBidi"/>
          <w:b/>
          <w:bCs/>
          <w:sz w:val="20"/>
          <w:szCs w:val="20"/>
          <w:rtl/>
          <w:lang w:bidi="ar-EG"/>
        </w:rPr>
        <w:t>كذلك من الأهداف والآثار السلبية: التشكيك في الثوابت كالجهاد، والحجاب، والميراث، والعقوبات الشرعية، وغير ذلك من الثوابت.</w:t>
      </w:r>
    </w:p>
    <w:p w:rsidR="00E859C2" w:rsidRPr="00E859C2" w:rsidRDefault="00E859C2" w:rsidP="00E859C2">
      <w:pPr>
        <w:pStyle w:val="NormalWeb"/>
        <w:bidi/>
        <w:spacing w:before="0" w:beforeAutospacing="0" w:after="120" w:afterAutospacing="0"/>
        <w:jc w:val="lowKashida"/>
        <w:rPr>
          <w:rFonts w:asciiTheme="majorBidi" w:hAnsiTheme="majorBidi" w:cstheme="majorBidi"/>
          <w:b/>
          <w:bCs/>
          <w:sz w:val="20"/>
          <w:szCs w:val="20"/>
          <w:rtl/>
        </w:rPr>
      </w:pPr>
      <w:r w:rsidRPr="00E859C2">
        <w:rPr>
          <w:rFonts w:asciiTheme="majorBidi" w:hAnsiTheme="majorBidi" w:cstheme="majorBidi"/>
          <w:b/>
          <w:bCs/>
          <w:sz w:val="20"/>
          <w:szCs w:val="20"/>
          <w:rtl/>
          <w:lang w:bidi="ar-EG"/>
        </w:rPr>
        <w:t xml:space="preserve">كذلك من هذه الآثار السلبية: إخراج المرأة من جلبابها بتصوير الحجاب بأنه خِرقة لا قيمة لها، ومحاولة مساواة المرأة للرجل في كل شيء حتى في جواز تعدُّد الأزواج. </w:t>
      </w:r>
    </w:p>
    <w:p w:rsidR="00E859C2" w:rsidRPr="00E859C2" w:rsidRDefault="00E859C2" w:rsidP="00E859C2">
      <w:pPr>
        <w:pStyle w:val="NormalWeb"/>
        <w:bidi/>
        <w:spacing w:before="0" w:beforeAutospacing="0" w:after="120" w:afterAutospacing="0"/>
        <w:jc w:val="lowKashida"/>
        <w:rPr>
          <w:rFonts w:asciiTheme="majorBidi" w:hAnsiTheme="majorBidi" w:cstheme="majorBidi"/>
          <w:b/>
          <w:bCs/>
          <w:sz w:val="20"/>
          <w:szCs w:val="20"/>
          <w:rtl/>
        </w:rPr>
      </w:pPr>
      <w:r w:rsidRPr="00E859C2">
        <w:rPr>
          <w:rFonts w:asciiTheme="majorBidi" w:hAnsiTheme="majorBidi" w:cstheme="majorBidi"/>
          <w:b/>
          <w:bCs/>
          <w:sz w:val="20"/>
          <w:szCs w:val="20"/>
          <w:rtl/>
          <w:lang w:bidi="ar-EG"/>
        </w:rPr>
        <w:t xml:space="preserve">وإذا كانت هذه بعض الآثار السلبية الناتجة عن الاستشراق؛ فإن هناك بعض الآثار الإيجابية منها: </w:t>
      </w:r>
    </w:p>
    <w:p w:rsidR="00E859C2" w:rsidRPr="00E859C2" w:rsidRDefault="00E859C2" w:rsidP="00E859C2">
      <w:pPr>
        <w:pStyle w:val="NormalWeb"/>
        <w:bidi/>
        <w:spacing w:before="0" w:beforeAutospacing="0" w:after="120" w:afterAutospacing="0"/>
        <w:jc w:val="lowKashida"/>
        <w:rPr>
          <w:rFonts w:asciiTheme="majorBidi" w:hAnsiTheme="majorBidi" w:cstheme="majorBidi"/>
          <w:b/>
          <w:bCs/>
          <w:sz w:val="20"/>
          <w:szCs w:val="20"/>
          <w:rtl/>
        </w:rPr>
      </w:pPr>
      <w:r w:rsidRPr="00E859C2">
        <w:rPr>
          <w:rFonts w:asciiTheme="majorBidi" w:hAnsiTheme="majorBidi" w:cstheme="majorBidi"/>
          <w:b/>
          <w:bCs/>
          <w:sz w:val="20"/>
          <w:szCs w:val="20"/>
          <w:rtl/>
          <w:lang w:bidi="ar-EG"/>
        </w:rPr>
        <w:t>شهادة المنصفين منهم بصدق الإسلام وإعجاز القرآن، حتى دفع ذلك الكثير منهم لإعلان إسلامه.</w:t>
      </w:r>
    </w:p>
    <w:p w:rsidR="00E859C2" w:rsidRPr="00E859C2" w:rsidRDefault="00E859C2" w:rsidP="00E859C2">
      <w:pPr>
        <w:pStyle w:val="NormalWeb"/>
        <w:bidi/>
        <w:spacing w:before="0" w:beforeAutospacing="0" w:after="120" w:afterAutospacing="0"/>
        <w:jc w:val="lowKashida"/>
        <w:rPr>
          <w:rFonts w:asciiTheme="majorBidi" w:hAnsiTheme="majorBidi" w:cstheme="majorBidi"/>
          <w:b/>
          <w:bCs/>
          <w:sz w:val="20"/>
          <w:szCs w:val="20"/>
          <w:rtl/>
        </w:rPr>
      </w:pPr>
      <w:r w:rsidRPr="00E859C2">
        <w:rPr>
          <w:rFonts w:asciiTheme="majorBidi" w:hAnsiTheme="majorBidi" w:cstheme="majorBidi"/>
          <w:b/>
          <w:bCs/>
          <w:color w:val="000080"/>
          <w:sz w:val="20"/>
          <w:szCs w:val="20"/>
          <w:rtl/>
          <w:lang w:bidi="ar-EG"/>
        </w:rPr>
        <w:t>وكذلك من الآثار الإيجابية:</w:t>
      </w:r>
      <w:r w:rsidRPr="00E859C2">
        <w:rPr>
          <w:rFonts w:asciiTheme="majorBidi" w:hAnsiTheme="majorBidi" w:cstheme="majorBidi"/>
          <w:b/>
          <w:bCs/>
          <w:sz w:val="20"/>
          <w:szCs w:val="20"/>
          <w:rtl/>
          <w:lang w:bidi="ar-EG"/>
        </w:rPr>
        <w:t xml:space="preserve"> إخراج بعض الكنوز الإسلامية التي كانت مخطوطة؛ فقد أُخرجت هذه المخطوطات، وحُققت، وطُبعت.</w:t>
      </w:r>
    </w:p>
    <w:p w:rsidR="00E859C2" w:rsidRPr="00E859C2" w:rsidRDefault="00E859C2" w:rsidP="00E859C2">
      <w:pPr>
        <w:pStyle w:val="NormalWeb"/>
        <w:bidi/>
        <w:spacing w:before="0" w:beforeAutospacing="0" w:after="120" w:afterAutospacing="0"/>
        <w:jc w:val="lowKashida"/>
        <w:rPr>
          <w:rFonts w:asciiTheme="majorBidi" w:hAnsiTheme="majorBidi" w:cstheme="majorBidi"/>
          <w:b/>
          <w:bCs/>
          <w:sz w:val="20"/>
          <w:szCs w:val="20"/>
          <w:rtl/>
        </w:rPr>
      </w:pPr>
      <w:r w:rsidRPr="00E859C2">
        <w:rPr>
          <w:rFonts w:asciiTheme="majorBidi" w:hAnsiTheme="majorBidi" w:cstheme="majorBidi"/>
          <w:b/>
          <w:bCs/>
          <w:sz w:val="20"/>
          <w:szCs w:val="20"/>
          <w:rtl/>
          <w:lang w:bidi="ar-EG"/>
        </w:rPr>
        <w:t>كذلك من الآثار الإيجابية: عمل (المعجم المفهرس لألفاظ الحديث النبوي).</w:t>
      </w:r>
    </w:p>
    <w:p w:rsidR="00E859C2" w:rsidRPr="00E859C2" w:rsidRDefault="00E859C2" w:rsidP="00E859C2">
      <w:pPr>
        <w:pStyle w:val="NormalWeb"/>
        <w:bidi/>
        <w:spacing w:before="0" w:beforeAutospacing="0" w:after="120" w:afterAutospacing="0"/>
        <w:jc w:val="lowKashida"/>
        <w:rPr>
          <w:rFonts w:asciiTheme="majorBidi" w:hAnsiTheme="majorBidi" w:cstheme="majorBidi"/>
          <w:b/>
          <w:bCs/>
          <w:sz w:val="20"/>
          <w:szCs w:val="20"/>
          <w:rtl/>
        </w:rPr>
      </w:pPr>
      <w:r w:rsidRPr="00E859C2">
        <w:rPr>
          <w:rFonts w:asciiTheme="majorBidi" w:hAnsiTheme="majorBidi" w:cstheme="majorBidi"/>
          <w:b/>
          <w:bCs/>
          <w:sz w:val="20"/>
          <w:szCs w:val="20"/>
          <w:rtl/>
          <w:lang w:bidi="ar-EG"/>
        </w:rPr>
        <w:t>بعد بيان بعض الإيجابيات نتكلم عن دوافع الاستشراق، هذه الدوافع ترجع إلى أمور ثلاثة:</w:t>
      </w:r>
    </w:p>
    <w:p w:rsidR="00E859C2" w:rsidRPr="00E859C2" w:rsidRDefault="00E859C2" w:rsidP="00E859C2">
      <w:pPr>
        <w:pStyle w:val="NormalWeb"/>
        <w:bidi/>
        <w:spacing w:before="0" w:beforeAutospacing="0" w:after="120" w:afterAutospacing="0"/>
        <w:jc w:val="lowKashida"/>
        <w:rPr>
          <w:rFonts w:asciiTheme="majorBidi" w:hAnsiTheme="majorBidi" w:cstheme="majorBidi"/>
          <w:b/>
          <w:bCs/>
          <w:sz w:val="20"/>
          <w:szCs w:val="20"/>
          <w:rtl/>
        </w:rPr>
      </w:pPr>
      <w:r w:rsidRPr="00E859C2">
        <w:rPr>
          <w:rFonts w:asciiTheme="majorBidi" w:hAnsiTheme="majorBidi" w:cstheme="majorBidi"/>
          <w:b/>
          <w:bCs/>
          <w:color w:val="000080"/>
          <w:sz w:val="20"/>
          <w:szCs w:val="20"/>
          <w:rtl/>
          <w:lang w:bidi="ar-EG"/>
        </w:rPr>
        <w:t xml:space="preserve">أولًا: </w:t>
      </w:r>
      <w:r w:rsidRPr="00E859C2">
        <w:rPr>
          <w:rFonts w:asciiTheme="majorBidi" w:hAnsiTheme="majorBidi" w:cstheme="majorBidi"/>
          <w:b/>
          <w:bCs/>
          <w:sz w:val="20"/>
          <w:szCs w:val="20"/>
          <w:rtl/>
          <w:lang w:bidi="ar-EG"/>
        </w:rPr>
        <w:t>الدافع الاستعماري.</w:t>
      </w:r>
    </w:p>
    <w:p w:rsidR="00E859C2" w:rsidRPr="00E859C2" w:rsidRDefault="00E859C2" w:rsidP="00E859C2">
      <w:pPr>
        <w:pStyle w:val="NormalWeb"/>
        <w:bidi/>
        <w:spacing w:before="0" w:beforeAutospacing="0" w:after="120" w:afterAutospacing="0"/>
        <w:jc w:val="lowKashida"/>
        <w:rPr>
          <w:rFonts w:asciiTheme="majorBidi" w:hAnsiTheme="majorBidi" w:cstheme="majorBidi"/>
          <w:b/>
          <w:bCs/>
          <w:sz w:val="20"/>
          <w:szCs w:val="20"/>
          <w:rtl/>
        </w:rPr>
      </w:pPr>
      <w:r w:rsidRPr="00E859C2">
        <w:rPr>
          <w:rFonts w:asciiTheme="majorBidi" w:hAnsiTheme="majorBidi" w:cstheme="majorBidi"/>
          <w:b/>
          <w:bCs/>
          <w:color w:val="000080"/>
          <w:sz w:val="20"/>
          <w:szCs w:val="20"/>
          <w:rtl/>
          <w:lang w:bidi="ar-EG"/>
        </w:rPr>
        <w:t xml:space="preserve">ثانيًا: </w:t>
      </w:r>
      <w:r w:rsidRPr="00E859C2">
        <w:rPr>
          <w:rFonts w:asciiTheme="majorBidi" w:hAnsiTheme="majorBidi" w:cstheme="majorBidi"/>
          <w:b/>
          <w:bCs/>
          <w:sz w:val="20"/>
          <w:szCs w:val="20"/>
          <w:rtl/>
          <w:lang w:bidi="ar-EG"/>
        </w:rPr>
        <w:t>الدافع الديني.</w:t>
      </w:r>
    </w:p>
    <w:p w:rsidR="00E859C2" w:rsidRPr="00E859C2" w:rsidRDefault="00E859C2" w:rsidP="00E859C2">
      <w:pPr>
        <w:pStyle w:val="NormalWeb"/>
        <w:bidi/>
        <w:spacing w:before="0" w:beforeAutospacing="0" w:after="120" w:afterAutospacing="0"/>
        <w:jc w:val="lowKashida"/>
        <w:rPr>
          <w:rFonts w:asciiTheme="majorBidi" w:hAnsiTheme="majorBidi" w:cstheme="majorBidi"/>
          <w:b/>
          <w:bCs/>
          <w:sz w:val="20"/>
          <w:szCs w:val="20"/>
          <w:rtl/>
        </w:rPr>
      </w:pPr>
      <w:r w:rsidRPr="00E859C2">
        <w:rPr>
          <w:rFonts w:asciiTheme="majorBidi" w:hAnsiTheme="majorBidi" w:cstheme="majorBidi"/>
          <w:b/>
          <w:bCs/>
          <w:color w:val="000080"/>
          <w:sz w:val="20"/>
          <w:szCs w:val="20"/>
          <w:rtl/>
          <w:lang w:bidi="ar-EG"/>
        </w:rPr>
        <w:t xml:space="preserve">ثالثًا: </w:t>
      </w:r>
      <w:r w:rsidRPr="00E859C2">
        <w:rPr>
          <w:rFonts w:asciiTheme="majorBidi" w:hAnsiTheme="majorBidi" w:cstheme="majorBidi"/>
          <w:b/>
          <w:bCs/>
          <w:sz w:val="20"/>
          <w:szCs w:val="20"/>
          <w:rtl/>
          <w:lang w:bidi="ar-EG"/>
        </w:rPr>
        <w:t>الدافع العلمي.</w:t>
      </w:r>
    </w:p>
    <w:p w:rsidR="00E859C2" w:rsidRPr="00E859C2" w:rsidRDefault="00E859C2" w:rsidP="00E859C2">
      <w:pPr>
        <w:pStyle w:val="NormalWeb"/>
        <w:bidi/>
        <w:spacing w:before="0" w:beforeAutospacing="0" w:after="120" w:afterAutospacing="0"/>
        <w:jc w:val="lowKashida"/>
        <w:rPr>
          <w:rFonts w:asciiTheme="majorBidi" w:hAnsiTheme="majorBidi" w:cstheme="majorBidi"/>
          <w:b/>
          <w:bCs/>
          <w:sz w:val="20"/>
          <w:szCs w:val="20"/>
          <w:rtl/>
        </w:rPr>
      </w:pPr>
      <w:r w:rsidRPr="00E859C2">
        <w:rPr>
          <w:rFonts w:asciiTheme="majorBidi" w:hAnsiTheme="majorBidi" w:cstheme="majorBidi"/>
          <w:b/>
          <w:bCs/>
          <w:sz w:val="20"/>
          <w:szCs w:val="20"/>
          <w:rtl/>
          <w:lang w:bidi="ar-EG"/>
        </w:rPr>
        <w:t>وأكتفي بهذا التعريف الموجز لمصطلح الاستشراق والمستشرقين، لأنتقل بعد ذلك مباشرة إلى الكلام عن العلمانيين:</w:t>
      </w:r>
    </w:p>
    <w:p w:rsidR="00E859C2" w:rsidRPr="00E859C2" w:rsidRDefault="00E859C2" w:rsidP="004D1B37">
      <w:pPr>
        <w:pStyle w:val="NormalWeb"/>
        <w:bidi/>
        <w:spacing w:before="0" w:beforeAutospacing="0" w:after="120" w:afterAutospacing="0"/>
        <w:jc w:val="both"/>
        <w:rPr>
          <w:rFonts w:asciiTheme="majorBidi" w:hAnsiTheme="majorBidi" w:cstheme="majorBidi"/>
          <w:b/>
          <w:bCs/>
          <w:spacing w:val="-2"/>
          <w:sz w:val="20"/>
          <w:szCs w:val="20"/>
          <w:rtl/>
        </w:rPr>
      </w:pPr>
      <w:r w:rsidRPr="00E859C2">
        <w:rPr>
          <w:rFonts w:asciiTheme="majorBidi" w:hAnsiTheme="majorBidi" w:cstheme="majorBidi"/>
          <w:b/>
          <w:bCs/>
          <w:sz w:val="20"/>
          <w:szCs w:val="20"/>
          <w:rtl/>
          <w:lang w:bidi="ar-EG"/>
        </w:rPr>
        <w:t xml:space="preserve">ونقصد بالعلمانيين تلاميذ أولئك المستشرقين: أولئك الذين رضعوامن المستشرقين أفكارهم، ورضعوا منهم طعونهم في كتاب الله، ومع هذا يدَّعون الإسلام. نعم، إن كثيرًا من العلمانيين يدَّعون الإسلام بالرغم من طعنهم في </w:t>
      </w:r>
      <w:r w:rsidRPr="00E859C2">
        <w:rPr>
          <w:rFonts w:asciiTheme="majorBidi" w:hAnsiTheme="majorBidi" w:cstheme="majorBidi"/>
          <w:b/>
          <w:bCs/>
          <w:spacing w:val="-2"/>
          <w:sz w:val="20"/>
          <w:szCs w:val="20"/>
          <w:rtl/>
          <w:lang w:bidi="ar-EG"/>
        </w:rPr>
        <w:t xml:space="preserve">كتاب الله وطعنهم في الإسلام، بل ويتكلمون باسم الإسلام، ويزعمون أنهم بذلك ما يُريدون إلا الإصلاح </w:t>
      </w:r>
      <w:r w:rsidR="004D1B37">
        <w:rPr>
          <w:rFonts w:asciiTheme="majorBidi" w:hAnsiTheme="majorBidi" w:cstheme="majorBidi"/>
          <w:b/>
          <w:bCs/>
          <w:spacing w:val="-2"/>
          <w:sz w:val="20"/>
          <w:szCs w:val="20"/>
          <w:lang w:bidi="ar-EG"/>
        </w:rPr>
        <w:t xml:space="preserve"> </w:t>
      </w:r>
      <w:r w:rsidR="004D1B37">
        <w:rPr>
          <w:rFonts w:asciiTheme="majorBidi" w:hAnsiTheme="majorBidi" w:cstheme="majorBidi" w:hint="cs"/>
          <w:b/>
          <w:bCs/>
          <w:spacing w:val="-2"/>
          <w:sz w:val="20"/>
          <w:szCs w:val="20"/>
          <w:rtl/>
          <w:lang w:bidi="ar-EG"/>
        </w:rPr>
        <w:t>...</w:t>
      </w:r>
    </w:p>
    <w:p w:rsidR="00E859C2" w:rsidRPr="00E859C2" w:rsidRDefault="00E859C2" w:rsidP="00E859C2">
      <w:pPr>
        <w:pStyle w:val="NormalWeb"/>
        <w:bidi/>
        <w:spacing w:before="0" w:beforeAutospacing="0" w:after="120" w:afterAutospacing="0"/>
        <w:jc w:val="lowKashida"/>
        <w:rPr>
          <w:rFonts w:asciiTheme="majorBidi" w:hAnsiTheme="majorBidi" w:cstheme="majorBidi"/>
          <w:b/>
          <w:bCs/>
          <w:sz w:val="20"/>
          <w:szCs w:val="20"/>
          <w:rtl/>
        </w:rPr>
      </w:pPr>
      <w:r w:rsidRPr="00E859C2">
        <w:rPr>
          <w:rFonts w:asciiTheme="majorBidi" w:hAnsiTheme="majorBidi" w:cstheme="majorBidi"/>
          <w:b/>
          <w:bCs/>
          <w:sz w:val="20"/>
          <w:szCs w:val="20"/>
          <w:rtl/>
          <w:lang w:bidi="ar-EG"/>
        </w:rPr>
        <w:t>وينسبون أنفسهم للعلم فيقولون: نحن علمانيون تلبيسًا على عامة الناس، وخطر هؤلاء أشدُّ؛ لأنهم باسم الإسلام يطعنون في الإسلام، وبزعم الدفاع عن الإسلام يُحاربون الإسلام، أسماؤهم كأسمائنا، وهم أبناء جلدتنا، فتلبيسهم على عامة الناس بل على بعض الخاصة شديد شديد؛ لذلك كان الرَّدُّ على هؤلاء وكشف أباطيلهم وتلبيساتهم من أعظم الواجبات وآكد الفرائض؛ حتى تحذر الأمة منهم، وتسلم من شرهم.</w:t>
      </w:r>
    </w:p>
    <w:p w:rsidR="00E859C2" w:rsidRPr="00E859C2" w:rsidRDefault="00E859C2" w:rsidP="00E859C2">
      <w:pPr>
        <w:pStyle w:val="NormalWeb"/>
        <w:bidi/>
        <w:spacing w:before="0" w:beforeAutospacing="0" w:after="120" w:afterAutospacing="0"/>
        <w:jc w:val="lowKashida"/>
        <w:rPr>
          <w:rFonts w:asciiTheme="majorBidi" w:hAnsiTheme="majorBidi" w:cstheme="majorBidi"/>
          <w:b/>
          <w:bCs/>
          <w:sz w:val="20"/>
          <w:szCs w:val="20"/>
          <w:rtl/>
        </w:rPr>
      </w:pPr>
      <w:r w:rsidRPr="00E859C2">
        <w:rPr>
          <w:rFonts w:asciiTheme="majorBidi" w:hAnsiTheme="majorBidi" w:cstheme="majorBidi"/>
          <w:b/>
          <w:bCs/>
          <w:sz w:val="20"/>
          <w:szCs w:val="20"/>
          <w:rtl/>
          <w:lang w:bidi="ar-EG"/>
        </w:rPr>
        <w:t xml:space="preserve">ففي (الصحيحين) عن حذيفة بن اليمان قال: كان الناس يسألون رسول الله </w:t>
      </w:r>
      <w:r w:rsidRPr="00E859C2">
        <w:rPr>
          <w:rFonts w:asciiTheme="majorBidi" w:hAnsiTheme="majorBidi" w:cstheme="majorBidi"/>
          <w:b/>
          <w:bCs/>
          <w:position w:val="-4"/>
          <w:sz w:val="20"/>
          <w:szCs w:val="20"/>
          <w:lang w:bidi="ar-EG"/>
        </w:rPr>
        <w:t></w:t>
      </w:r>
      <w:r w:rsidRPr="00E859C2">
        <w:rPr>
          <w:rFonts w:asciiTheme="majorBidi" w:hAnsiTheme="majorBidi" w:cstheme="majorBidi"/>
          <w:b/>
          <w:bCs/>
          <w:sz w:val="20"/>
          <w:szCs w:val="20"/>
          <w:rtl/>
          <w:lang w:bidi="ar-EG"/>
        </w:rPr>
        <w:t xml:space="preserve"> عن الخير، وكنت أسأله عن الشر؛ مخافة أن يُدركني، فقلت: يا رسول الله إنا كنا في جاهلية وشر، فجاءنا الله بهذا الخير، فهل بعد هذا الخير من شر؟ قال:</w:t>
      </w:r>
      <w:r w:rsidRPr="00E859C2">
        <w:rPr>
          <w:rFonts w:asciiTheme="majorBidi" w:hAnsiTheme="majorBidi" w:cstheme="majorBidi"/>
          <w:b/>
          <w:bCs/>
          <w:color w:val="0000FF"/>
          <w:sz w:val="20"/>
          <w:szCs w:val="20"/>
          <w:rtl/>
          <w:lang w:bidi="ar-EG"/>
        </w:rPr>
        <w:t xml:space="preserve"> ((نعم))</w:t>
      </w:r>
      <w:r w:rsidRPr="00E859C2">
        <w:rPr>
          <w:rFonts w:asciiTheme="majorBidi" w:hAnsiTheme="majorBidi" w:cstheme="majorBidi"/>
          <w:b/>
          <w:bCs/>
          <w:sz w:val="20"/>
          <w:szCs w:val="20"/>
          <w:rtl/>
          <w:lang w:bidi="ar-EG"/>
        </w:rPr>
        <w:t>. قلت: وهل بعد ذلك الشر من خير؟ قال:</w:t>
      </w:r>
      <w:r w:rsidRPr="00E859C2">
        <w:rPr>
          <w:rFonts w:asciiTheme="majorBidi" w:hAnsiTheme="majorBidi" w:cstheme="majorBidi"/>
          <w:b/>
          <w:bCs/>
          <w:color w:val="0000FF"/>
          <w:sz w:val="20"/>
          <w:szCs w:val="20"/>
          <w:rtl/>
          <w:lang w:bidi="ar-EG"/>
        </w:rPr>
        <w:t xml:space="preserve"> ((نعم، وفيه دخن))</w:t>
      </w:r>
      <w:r w:rsidRPr="00E859C2">
        <w:rPr>
          <w:rFonts w:asciiTheme="majorBidi" w:hAnsiTheme="majorBidi" w:cstheme="majorBidi"/>
          <w:b/>
          <w:bCs/>
          <w:sz w:val="20"/>
          <w:szCs w:val="20"/>
          <w:rtl/>
          <w:lang w:bidi="ar-EG"/>
        </w:rPr>
        <w:t xml:space="preserve">، قلت: وما دخنه؟ قال </w:t>
      </w:r>
      <w:r w:rsidRPr="00E859C2">
        <w:rPr>
          <w:rFonts w:asciiTheme="majorBidi" w:hAnsiTheme="majorBidi" w:cstheme="majorBidi"/>
          <w:b/>
          <w:bCs/>
          <w:position w:val="-4"/>
          <w:sz w:val="20"/>
          <w:szCs w:val="20"/>
          <w:lang w:bidi="ar-EG"/>
        </w:rPr>
        <w:t></w:t>
      </w:r>
      <w:r w:rsidRPr="00E859C2">
        <w:rPr>
          <w:rFonts w:asciiTheme="majorBidi" w:hAnsiTheme="majorBidi" w:cstheme="majorBidi"/>
          <w:b/>
          <w:bCs/>
          <w:sz w:val="20"/>
          <w:szCs w:val="20"/>
          <w:rtl/>
          <w:lang w:bidi="ar-EG"/>
        </w:rPr>
        <w:t>:</w:t>
      </w:r>
      <w:r w:rsidRPr="00E859C2">
        <w:rPr>
          <w:rFonts w:asciiTheme="majorBidi" w:hAnsiTheme="majorBidi" w:cstheme="majorBidi"/>
          <w:b/>
          <w:bCs/>
          <w:color w:val="0000FF"/>
          <w:sz w:val="20"/>
          <w:szCs w:val="20"/>
          <w:rtl/>
          <w:lang w:bidi="ar-EG"/>
        </w:rPr>
        <w:t xml:space="preserve"> ((قوم يهدون بغير هديي، تعرف منهم وتُنكر))</w:t>
      </w:r>
      <w:r w:rsidRPr="00E859C2">
        <w:rPr>
          <w:rFonts w:asciiTheme="majorBidi" w:hAnsiTheme="majorBidi" w:cstheme="majorBidi"/>
          <w:b/>
          <w:bCs/>
          <w:sz w:val="20"/>
          <w:szCs w:val="20"/>
          <w:rtl/>
          <w:lang w:bidi="ar-EG"/>
        </w:rPr>
        <w:t>، قلت: فهل بعد ذلك الخير من شر؟ قال:</w:t>
      </w:r>
      <w:r w:rsidRPr="00E859C2">
        <w:rPr>
          <w:rFonts w:asciiTheme="majorBidi" w:hAnsiTheme="majorBidi" w:cstheme="majorBidi"/>
          <w:b/>
          <w:bCs/>
          <w:color w:val="0000FF"/>
          <w:sz w:val="20"/>
          <w:szCs w:val="20"/>
          <w:rtl/>
          <w:lang w:bidi="ar-EG"/>
        </w:rPr>
        <w:t xml:space="preserve"> ((نعم، دُعاة إلى أبواب جهنم من أجابهم إليها قذفوه فيها))</w:t>
      </w:r>
      <w:r w:rsidRPr="00E859C2">
        <w:rPr>
          <w:rFonts w:asciiTheme="majorBidi" w:hAnsiTheme="majorBidi" w:cstheme="majorBidi"/>
          <w:b/>
          <w:bCs/>
          <w:sz w:val="20"/>
          <w:szCs w:val="20"/>
          <w:rtl/>
          <w:lang w:bidi="ar-EG"/>
        </w:rPr>
        <w:t xml:space="preserve">، قلت: يا رسول الله صفهم </w:t>
      </w:r>
      <w:r w:rsidRPr="00E859C2">
        <w:rPr>
          <w:rFonts w:asciiTheme="majorBidi" w:hAnsiTheme="majorBidi" w:cstheme="majorBidi"/>
          <w:b/>
          <w:bCs/>
          <w:sz w:val="20"/>
          <w:szCs w:val="20"/>
          <w:rtl/>
          <w:lang w:bidi="ar-EG"/>
        </w:rPr>
        <w:lastRenderedPageBreak/>
        <w:t>لنا. فقال:</w:t>
      </w:r>
      <w:r w:rsidRPr="00E859C2">
        <w:rPr>
          <w:rFonts w:asciiTheme="majorBidi" w:hAnsiTheme="majorBidi" w:cstheme="majorBidi"/>
          <w:b/>
          <w:bCs/>
          <w:color w:val="0000FF"/>
          <w:sz w:val="20"/>
          <w:szCs w:val="20"/>
          <w:rtl/>
          <w:lang w:bidi="ar-EG"/>
        </w:rPr>
        <w:t xml:space="preserve"> ((هم من جلدتنا، ويتكلمون بألسنتنا))</w:t>
      </w:r>
      <w:r w:rsidRPr="00E859C2">
        <w:rPr>
          <w:rFonts w:asciiTheme="majorBidi" w:hAnsiTheme="majorBidi" w:cstheme="majorBidi"/>
          <w:b/>
          <w:bCs/>
          <w:sz w:val="20"/>
          <w:szCs w:val="20"/>
          <w:rtl/>
          <w:lang w:bidi="ar-EG"/>
        </w:rPr>
        <w:t>. قلت: فما تأمرني إن أدركني ذلك؟ قال:</w:t>
      </w:r>
      <w:r w:rsidRPr="00E859C2">
        <w:rPr>
          <w:rFonts w:asciiTheme="majorBidi" w:hAnsiTheme="majorBidi" w:cstheme="majorBidi"/>
          <w:b/>
          <w:bCs/>
          <w:color w:val="0000FF"/>
          <w:sz w:val="20"/>
          <w:szCs w:val="20"/>
          <w:rtl/>
          <w:lang w:bidi="ar-EG"/>
        </w:rPr>
        <w:t xml:space="preserve"> ((تلزم جماعة المسلمين وإمامهم))</w:t>
      </w:r>
      <w:r w:rsidRPr="00E859C2">
        <w:rPr>
          <w:rFonts w:asciiTheme="majorBidi" w:hAnsiTheme="majorBidi" w:cstheme="majorBidi"/>
          <w:b/>
          <w:bCs/>
          <w:sz w:val="20"/>
          <w:szCs w:val="20"/>
          <w:rtl/>
          <w:lang w:bidi="ar-EG"/>
        </w:rPr>
        <w:t>. قلت: فإن لم يكن لهم جماعة ولا إمام، قال:</w:t>
      </w:r>
      <w:r w:rsidRPr="00E859C2">
        <w:rPr>
          <w:rFonts w:asciiTheme="majorBidi" w:hAnsiTheme="majorBidi" w:cstheme="majorBidi"/>
          <w:b/>
          <w:bCs/>
          <w:color w:val="0000FF"/>
          <w:sz w:val="20"/>
          <w:szCs w:val="20"/>
          <w:rtl/>
          <w:lang w:bidi="ar-EG"/>
        </w:rPr>
        <w:t xml:space="preserve"> ((فاعتزل تلك الفرق كلها، ولو أن تعضَّ بأصل شجرة حتى يُدركك الموت، وأنت على ذلك))</w:t>
      </w:r>
      <w:r w:rsidRPr="00E859C2">
        <w:rPr>
          <w:rFonts w:asciiTheme="majorBidi" w:hAnsiTheme="majorBidi" w:cstheme="majorBidi"/>
          <w:b/>
          <w:bCs/>
          <w:sz w:val="20"/>
          <w:szCs w:val="20"/>
          <w:rtl/>
          <w:lang w:bidi="ar-EG"/>
        </w:rPr>
        <w:t>.</w:t>
      </w:r>
    </w:p>
    <w:p w:rsidR="00E859C2" w:rsidRPr="00E859C2" w:rsidRDefault="00E859C2" w:rsidP="00E859C2">
      <w:pPr>
        <w:spacing w:after="120" w:line="240" w:lineRule="auto"/>
        <w:jc w:val="center"/>
        <w:rPr>
          <w:rFonts w:asciiTheme="majorBidi" w:hAnsiTheme="majorBidi" w:cstheme="majorBidi"/>
          <w:b/>
          <w:bCs/>
          <w:sz w:val="20"/>
          <w:szCs w:val="20"/>
          <w:rtl/>
        </w:rPr>
      </w:pPr>
      <w:r w:rsidRPr="00E859C2">
        <w:rPr>
          <w:rFonts w:asciiTheme="majorBidi" w:hAnsiTheme="majorBidi" w:cstheme="majorBidi"/>
          <w:b/>
          <w:bCs/>
          <w:sz w:val="20"/>
          <w:szCs w:val="20"/>
          <w:rtl/>
        </w:rPr>
        <w:t>ال</w:t>
      </w:r>
      <w:r w:rsidR="009F323B">
        <w:rPr>
          <w:rFonts w:asciiTheme="majorBidi" w:hAnsiTheme="majorBidi" w:cstheme="majorBidi" w:hint="cs"/>
          <w:b/>
          <w:bCs/>
          <w:sz w:val="20"/>
          <w:szCs w:val="20"/>
          <w:rtl/>
        </w:rPr>
        <w:t>م</w:t>
      </w:r>
      <w:r w:rsidRPr="00E859C2">
        <w:rPr>
          <w:rFonts w:asciiTheme="majorBidi" w:hAnsiTheme="majorBidi" w:cstheme="majorBidi"/>
          <w:b/>
          <w:bCs/>
          <w:sz w:val="20"/>
          <w:szCs w:val="20"/>
          <w:rtl/>
        </w:rPr>
        <w:t>صادر والمراجع</w:t>
      </w:r>
    </w:p>
    <w:p w:rsidR="00E859C2" w:rsidRPr="00E859C2" w:rsidRDefault="00E859C2" w:rsidP="00E859C2">
      <w:pPr>
        <w:numPr>
          <w:ilvl w:val="0"/>
          <w:numId w:val="2"/>
        </w:numPr>
        <w:spacing w:after="120" w:line="240" w:lineRule="auto"/>
        <w:jc w:val="lowKashida"/>
        <w:rPr>
          <w:rFonts w:asciiTheme="majorBidi" w:hAnsiTheme="majorBidi" w:cstheme="majorBidi"/>
          <w:b/>
          <w:bCs/>
          <w:sz w:val="20"/>
          <w:szCs w:val="20"/>
          <w:rtl/>
        </w:rPr>
      </w:pPr>
      <w:r w:rsidRPr="00E859C2">
        <w:rPr>
          <w:rFonts w:asciiTheme="majorBidi" w:hAnsiTheme="majorBidi" w:cstheme="majorBidi"/>
          <w:b/>
          <w:bCs/>
          <w:sz w:val="20"/>
          <w:szCs w:val="20"/>
          <w:rtl/>
        </w:rPr>
        <w:t>السيوطي، جلال الدين السيوطي، تحقيق: محمد أبو الفضل إبراهيم،  (الإتقان في علوم القرآن) ، الهيئة المصرية العامة للكتاب، 1984م</w:t>
      </w:r>
    </w:p>
    <w:p w:rsidR="00E859C2" w:rsidRPr="00E859C2" w:rsidRDefault="00E859C2" w:rsidP="00E859C2">
      <w:pPr>
        <w:numPr>
          <w:ilvl w:val="0"/>
          <w:numId w:val="2"/>
        </w:numPr>
        <w:spacing w:after="120" w:line="240" w:lineRule="auto"/>
        <w:jc w:val="lowKashida"/>
        <w:rPr>
          <w:rFonts w:asciiTheme="majorBidi" w:hAnsiTheme="majorBidi" w:cstheme="majorBidi"/>
          <w:b/>
          <w:bCs/>
          <w:sz w:val="20"/>
          <w:szCs w:val="20"/>
          <w:rtl/>
        </w:rPr>
      </w:pPr>
      <w:r w:rsidRPr="00E859C2">
        <w:rPr>
          <w:rFonts w:asciiTheme="majorBidi" w:hAnsiTheme="majorBidi" w:cstheme="majorBidi"/>
          <w:b/>
          <w:bCs/>
          <w:sz w:val="20"/>
          <w:szCs w:val="20"/>
          <w:rtl/>
        </w:rPr>
        <w:t>الزركشي، بدر الدين الزركشي، تحقيق: محمد أبو الفضل إبراهيم،  (البرهان في علوم القرآن) ، بيروت، نشر دار المعرفة، 2001م</w:t>
      </w:r>
    </w:p>
    <w:p w:rsidR="00E859C2" w:rsidRPr="00E859C2" w:rsidRDefault="00E859C2" w:rsidP="00E859C2">
      <w:pPr>
        <w:numPr>
          <w:ilvl w:val="0"/>
          <w:numId w:val="2"/>
        </w:numPr>
        <w:spacing w:after="120" w:line="240" w:lineRule="auto"/>
        <w:jc w:val="lowKashida"/>
        <w:rPr>
          <w:rFonts w:asciiTheme="majorBidi" w:hAnsiTheme="majorBidi" w:cstheme="majorBidi"/>
          <w:b/>
          <w:bCs/>
          <w:sz w:val="20"/>
          <w:szCs w:val="20"/>
        </w:rPr>
      </w:pPr>
      <w:r w:rsidRPr="00E859C2">
        <w:rPr>
          <w:rFonts w:asciiTheme="majorBidi" w:hAnsiTheme="majorBidi" w:cstheme="majorBidi"/>
          <w:b/>
          <w:bCs/>
          <w:sz w:val="20"/>
          <w:szCs w:val="20"/>
          <w:rtl/>
        </w:rPr>
        <w:t>الدجوي، يوسف أحمد نصر الدجوي، (الجواب المنيف في الرد على مدعي التحريف) ، القاهرة، مطبعة القاهرة، 1969م</w:t>
      </w:r>
    </w:p>
    <w:p w:rsidR="00E859C2" w:rsidRPr="00E859C2" w:rsidRDefault="00E859C2" w:rsidP="00E859C2">
      <w:pPr>
        <w:numPr>
          <w:ilvl w:val="0"/>
          <w:numId w:val="2"/>
        </w:numPr>
        <w:spacing w:after="120" w:line="240" w:lineRule="auto"/>
        <w:jc w:val="lowKashida"/>
        <w:rPr>
          <w:rFonts w:asciiTheme="majorBidi" w:hAnsiTheme="majorBidi" w:cstheme="majorBidi"/>
          <w:b/>
          <w:bCs/>
          <w:sz w:val="20"/>
          <w:szCs w:val="20"/>
        </w:rPr>
      </w:pPr>
      <w:r w:rsidRPr="00E859C2">
        <w:rPr>
          <w:rFonts w:asciiTheme="majorBidi" w:hAnsiTheme="majorBidi" w:cstheme="majorBidi"/>
          <w:b/>
          <w:bCs/>
          <w:sz w:val="20"/>
          <w:szCs w:val="20"/>
          <w:rtl/>
        </w:rPr>
        <w:t>الجزيري، محمد شوقي عبد الرحمن الجزيري، (أدلة اليقين في الرد على مطاعن المبشرين والملحدين) ،دار الإرشاد للطباعة والنشر، 1416هـ</w:t>
      </w:r>
    </w:p>
    <w:p w:rsidR="00E859C2" w:rsidRPr="00E859C2" w:rsidRDefault="00E859C2" w:rsidP="00E859C2">
      <w:pPr>
        <w:numPr>
          <w:ilvl w:val="0"/>
          <w:numId w:val="2"/>
        </w:numPr>
        <w:spacing w:after="120" w:line="240" w:lineRule="auto"/>
        <w:jc w:val="lowKashida"/>
        <w:rPr>
          <w:rFonts w:asciiTheme="majorBidi" w:hAnsiTheme="majorBidi" w:cstheme="majorBidi"/>
          <w:b/>
          <w:bCs/>
          <w:sz w:val="20"/>
          <w:szCs w:val="20"/>
          <w:rtl/>
        </w:rPr>
      </w:pPr>
      <w:r w:rsidRPr="00E859C2">
        <w:rPr>
          <w:rFonts w:asciiTheme="majorBidi" w:hAnsiTheme="majorBidi" w:cstheme="majorBidi"/>
          <w:b/>
          <w:bCs/>
          <w:sz w:val="20"/>
          <w:szCs w:val="20"/>
          <w:rtl/>
        </w:rPr>
        <w:lastRenderedPageBreak/>
        <w:t>أبي داود، ابن أبي داود، تحقيق: محب الدين واعظ، (المصاحف) ، دار البشائر الإسلامية، 2002م</w:t>
      </w:r>
    </w:p>
    <w:p w:rsidR="00E859C2" w:rsidRPr="00E859C2" w:rsidRDefault="00E859C2" w:rsidP="00E859C2">
      <w:pPr>
        <w:numPr>
          <w:ilvl w:val="0"/>
          <w:numId w:val="2"/>
        </w:numPr>
        <w:spacing w:after="120" w:line="240" w:lineRule="auto"/>
        <w:jc w:val="lowKashida"/>
        <w:rPr>
          <w:rFonts w:asciiTheme="majorBidi" w:hAnsiTheme="majorBidi" w:cstheme="majorBidi"/>
          <w:b/>
          <w:bCs/>
          <w:sz w:val="20"/>
          <w:szCs w:val="20"/>
        </w:rPr>
      </w:pPr>
      <w:r w:rsidRPr="00E859C2">
        <w:rPr>
          <w:rFonts w:asciiTheme="majorBidi" w:hAnsiTheme="majorBidi" w:cstheme="majorBidi"/>
          <w:b/>
          <w:bCs/>
          <w:sz w:val="20"/>
          <w:szCs w:val="20"/>
          <w:rtl/>
        </w:rPr>
        <w:t>الباقلاني، القاضي أبي بكر محمد الباقلاني، (نكت الانتصار لنقل القرآن) ، الإسكندرية، منشأة المعارف، 1971م</w:t>
      </w:r>
    </w:p>
    <w:p w:rsidR="00E859C2" w:rsidRPr="00E859C2" w:rsidRDefault="00E859C2" w:rsidP="00E859C2">
      <w:pPr>
        <w:numPr>
          <w:ilvl w:val="0"/>
          <w:numId w:val="2"/>
        </w:numPr>
        <w:spacing w:after="120" w:line="240" w:lineRule="auto"/>
        <w:jc w:val="lowKashida"/>
        <w:rPr>
          <w:rFonts w:asciiTheme="majorBidi" w:hAnsiTheme="majorBidi" w:cstheme="majorBidi"/>
          <w:b/>
          <w:bCs/>
          <w:sz w:val="20"/>
          <w:szCs w:val="20"/>
          <w:rtl/>
        </w:rPr>
      </w:pPr>
      <w:r w:rsidRPr="00E859C2">
        <w:rPr>
          <w:rFonts w:asciiTheme="majorBidi" w:hAnsiTheme="majorBidi" w:cstheme="majorBidi"/>
          <w:b/>
          <w:bCs/>
          <w:sz w:val="20"/>
          <w:szCs w:val="20"/>
          <w:rtl/>
        </w:rPr>
        <w:t>الزرقاني، محمد عبد العظيم الزرقاني، (مناهل العرفان في علوم القرآن)  ، بيروت، دار الفكر، 1996م</w:t>
      </w:r>
    </w:p>
    <w:p w:rsidR="00E859C2" w:rsidRPr="00E859C2" w:rsidRDefault="00E859C2" w:rsidP="00E859C2">
      <w:pPr>
        <w:numPr>
          <w:ilvl w:val="0"/>
          <w:numId w:val="2"/>
        </w:numPr>
        <w:spacing w:after="120" w:line="240" w:lineRule="auto"/>
        <w:jc w:val="lowKashida"/>
        <w:rPr>
          <w:rFonts w:asciiTheme="majorBidi" w:hAnsiTheme="majorBidi" w:cstheme="majorBidi"/>
          <w:b/>
          <w:bCs/>
          <w:sz w:val="20"/>
          <w:szCs w:val="20"/>
          <w:rtl/>
        </w:rPr>
      </w:pPr>
      <w:r w:rsidRPr="00E859C2">
        <w:rPr>
          <w:rFonts w:asciiTheme="majorBidi" w:hAnsiTheme="majorBidi" w:cstheme="majorBidi"/>
          <w:b/>
          <w:bCs/>
          <w:sz w:val="20"/>
          <w:szCs w:val="20"/>
          <w:rtl/>
        </w:rPr>
        <w:t>أبو شهبة، محمد بن محمد أبو شهبة،  (المدخل لدراسة القرآن الكريم) ، الرياض، نشر دار اللواء، 1987م</w:t>
      </w:r>
    </w:p>
    <w:p w:rsidR="00E859C2" w:rsidRPr="00E859C2" w:rsidRDefault="00E859C2" w:rsidP="00E859C2">
      <w:pPr>
        <w:numPr>
          <w:ilvl w:val="0"/>
          <w:numId w:val="2"/>
        </w:numPr>
        <w:spacing w:after="120" w:line="240" w:lineRule="auto"/>
        <w:jc w:val="lowKashida"/>
        <w:rPr>
          <w:rFonts w:asciiTheme="majorBidi" w:hAnsiTheme="majorBidi" w:cstheme="majorBidi"/>
          <w:b/>
          <w:bCs/>
          <w:sz w:val="20"/>
          <w:szCs w:val="20"/>
        </w:rPr>
      </w:pPr>
      <w:r w:rsidRPr="00E859C2">
        <w:rPr>
          <w:rFonts w:asciiTheme="majorBidi" w:hAnsiTheme="majorBidi" w:cstheme="majorBidi"/>
          <w:b/>
          <w:bCs/>
          <w:sz w:val="20"/>
          <w:szCs w:val="20"/>
          <w:rtl/>
        </w:rPr>
        <w:t>بن حزم، أبو محمد علي بن أحمد بن حزم، (الفصل في الملل والأهواء والنحل) ، بيروت، دار الجيل،1405هـ</w:t>
      </w:r>
    </w:p>
    <w:p w:rsidR="00E859C2" w:rsidRPr="00E859C2" w:rsidRDefault="00E859C2" w:rsidP="00E859C2">
      <w:pPr>
        <w:numPr>
          <w:ilvl w:val="0"/>
          <w:numId w:val="2"/>
        </w:numPr>
        <w:spacing w:after="120" w:line="240" w:lineRule="auto"/>
        <w:jc w:val="lowKashida"/>
        <w:rPr>
          <w:rFonts w:asciiTheme="majorBidi" w:hAnsiTheme="majorBidi" w:cstheme="majorBidi"/>
          <w:b/>
          <w:bCs/>
          <w:sz w:val="20"/>
          <w:szCs w:val="20"/>
        </w:rPr>
      </w:pPr>
      <w:r w:rsidRPr="00E859C2">
        <w:rPr>
          <w:rFonts w:asciiTheme="majorBidi" w:hAnsiTheme="majorBidi" w:cstheme="majorBidi"/>
          <w:b/>
          <w:bCs/>
          <w:sz w:val="20"/>
          <w:szCs w:val="20"/>
          <w:rtl/>
        </w:rPr>
        <w:t>أبو زهرة، محمد أبو زهرة، (المعجزة الكبرى القرآن)  ، دار طيب للنشر، 2003م</w:t>
      </w:r>
    </w:p>
    <w:p w:rsidR="00E859C2" w:rsidRPr="00E859C2" w:rsidRDefault="00E859C2" w:rsidP="00E859C2">
      <w:pPr>
        <w:numPr>
          <w:ilvl w:val="0"/>
          <w:numId w:val="2"/>
        </w:numPr>
        <w:spacing w:after="120" w:line="240" w:lineRule="auto"/>
        <w:jc w:val="lowKashida"/>
        <w:rPr>
          <w:rFonts w:asciiTheme="majorBidi" w:hAnsiTheme="majorBidi" w:cstheme="majorBidi"/>
          <w:b/>
          <w:bCs/>
          <w:sz w:val="20"/>
          <w:szCs w:val="20"/>
        </w:rPr>
      </w:pPr>
      <w:r w:rsidRPr="00E859C2">
        <w:rPr>
          <w:rFonts w:asciiTheme="majorBidi" w:hAnsiTheme="majorBidi" w:cstheme="majorBidi"/>
          <w:b/>
          <w:bCs/>
          <w:sz w:val="20"/>
          <w:szCs w:val="20"/>
          <w:rtl/>
        </w:rPr>
        <w:t>مزروعة، حاتم محمد منصور مزروعة،   (دعاوى تحريف القرآن الكريم) ،  طبعة جامعة الأزهر، 2007م</w:t>
      </w:r>
    </w:p>
    <w:p w:rsidR="00E859C2" w:rsidRPr="00E859C2" w:rsidRDefault="00E859C2" w:rsidP="00E859C2">
      <w:pPr>
        <w:numPr>
          <w:ilvl w:val="0"/>
          <w:numId w:val="2"/>
        </w:numPr>
        <w:spacing w:after="120" w:line="240" w:lineRule="auto"/>
        <w:jc w:val="lowKashida"/>
        <w:rPr>
          <w:rFonts w:asciiTheme="majorBidi" w:hAnsiTheme="majorBidi" w:cstheme="majorBidi"/>
          <w:b/>
          <w:bCs/>
          <w:sz w:val="20"/>
          <w:szCs w:val="20"/>
        </w:rPr>
      </w:pPr>
      <w:r w:rsidRPr="00E859C2">
        <w:rPr>
          <w:rFonts w:asciiTheme="majorBidi" w:hAnsiTheme="majorBidi" w:cstheme="majorBidi"/>
          <w:b/>
          <w:bCs/>
          <w:sz w:val="20"/>
          <w:szCs w:val="20"/>
          <w:rtl/>
        </w:rPr>
        <w:t>الباقلاني، أبو بكر بن الطيب الباقلاني، تحقيق: عماد الدين حيدر،  (إعجاز القرآن) ، مؤسسة الكتب الثقافية، 1991م</w:t>
      </w:r>
    </w:p>
    <w:p w:rsidR="00E859C2" w:rsidRPr="00E859C2" w:rsidRDefault="00E859C2" w:rsidP="00E859C2">
      <w:pPr>
        <w:rPr>
          <w:i/>
          <w:iCs/>
          <w:sz w:val="20"/>
          <w:szCs w:val="20"/>
          <w:rtl/>
        </w:rPr>
        <w:sectPr w:rsidR="00E859C2" w:rsidRPr="00E859C2" w:rsidSect="00E859C2">
          <w:type w:val="continuous"/>
          <w:pgSz w:w="11906" w:h="16838"/>
          <w:pgMar w:top="964" w:right="1021" w:bottom="964" w:left="1021" w:header="709" w:footer="709" w:gutter="0"/>
          <w:cols w:num="2" w:space="708"/>
          <w:bidi/>
          <w:rtlGutter/>
          <w:docGrid w:linePitch="360"/>
        </w:sectPr>
      </w:pPr>
    </w:p>
    <w:p w:rsidR="00E859C2" w:rsidRPr="00E859C2" w:rsidRDefault="00E859C2" w:rsidP="00E859C2">
      <w:pPr>
        <w:rPr>
          <w:i/>
          <w:iCs/>
        </w:rPr>
      </w:pPr>
    </w:p>
    <w:sectPr w:rsidR="00E859C2" w:rsidRPr="00E859C2" w:rsidSect="00E859C2">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L-Hotham">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12AB9"/>
    <w:multiLevelType w:val="hybridMultilevel"/>
    <w:tmpl w:val="4FE2E600"/>
    <w:lvl w:ilvl="0" w:tplc="2F0AF552">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4882FBA4"/>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compat/>
  <w:rsids>
    <w:rsidRoot w:val="00E859C2"/>
    <w:rsid w:val="000E7656"/>
    <w:rsid w:val="00167AA7"/>
    <w:rsid w:val="004D1B37"/>
    <w:rsid w:val="00514443"/>
    <w:rsid w:val="009556CB"/>
    <w:rsid w:val="009F323B"/>
    <w:rsid w:val="00BF7572"/>
    <w:rsid w:val="00C70314"/>
    <w:rsid w:val="00D53674"/>
    <w:rsid w:val="00E859C2"/>
    <w:rsid w:val="00F32AE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6C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subtitle">
    <w:name w:val="paper subtitle"/>
    <w:rsid w:val="00E859C2"/>
    <w:pPr>
      <w:suppressAutoHyphens/>
      <w:spacing w:after="120" w:line="240" w:lineRule="auto"/>
      <w:jc w:val="center"/>
    </w:pPr>
    <w:rPr>
      <w:rFonts w:ascii="Times New Roman" w:eastAsia="MS Mincho" w:hAnsi="Times New Roman" w:cs="Times New Roman"/>
      <w:sz w:val="28"/>
      <w:szCs w:val="28"/>
    </w:rPr>
  </w:style>
  <w:style w:type="paragraph" w:styleId="NormalWeb">
    <w:name w:val="Normal (Web)"/>
    <w:basedOn w:val="Normal"/>
    <w:rsid w:val="00E859C2"/>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859C2"/>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898</Words>
  <Characters>5121</Characters>
  <Application>Microsoft Office Word</Application>
  <DocSecurity>0</DocSecurity>
  <Lines>42</Lines>
  <Paragraphs>12</Paragraphs>
  <ScaleCrop>false</ScaleCrop>
  <Company/>
  <LinksUpToDate>false</LinksUpToDate>
  <CharactersWithSpaces>6007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OYEK</cp:lastModifiedBy>
  <cp:revision>5</cp:revision>
  <dcterms:created xsi:type="dcterms:W3CDTF">2013-06-21T07:35:00Z</dcterms:created>
  <dcterms:modified xsi:type="dcterms:W3CDTF">2013-06-26T21:56:00Z</dcterms:modified>
</cp:coreProperties>
</file>