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8C6C50" w:rsidP="008C6C50">
      <w:pPr>
        <w:spacing w:line="240" w:lineRule="auto"/>
        <w:jc w:val="center"/>
        <w:rPr>
          <w:i/>
          <w:iCs/>
          <w:rtl/>
        </w:rPr>
      </w:pPr>
      <w:r w:rsidRPr="008C6C50">
        <w:rPr>
          <w:rFonts w:asciiTheme="majorBidi" w:eastAsia="Calibri" w:hAnsiTheme="majorBidi" w:cstheme="majorBidi"/>
          <w:i/>
          <w:iCs/>
          <w:sz w:val="48"/>
          <w:szCs w:val="48"/>
          <w:rtl/>
        </w:rPr>
        <w:t>الادِّعاء بجواز نسيان النبي</w:t>
      </w:r>
      <w:r w:rsidRPr="008C6C50">
        <w:rPr>
          <w:rFonts w:ascii="Calibri" w:eastAsia="Calibri" w:hAnsi="Calibri" w:cs="AGA Rasheeq Bold"/>
          <w:i/>
          <w:iCs/>
          <w:sz w:val="48"/>
          <w:szCs w:val="48"/>
          <w:rtl/>
        </w:rPr>
        <w:t xml:space="preserve"> </w:t>
      </w:r>
      <w:r w:rsidRPr="008C6C50">
        <w:rPr>
          <w:rFonts w:ascii="AGA Arabesque" w:eastAsia="Calibri" w:hAnsi="AGA Arabesque" w:cs="Century Gothic"/>
          <w:i/>
          <w:iCs/>
          <w:position w:val="-4"/>
          <w:sz w:val="48"/>
          <w:szCs w:val="48"/>
        </w:rPr>
        <w:t></w:t>
      </w:r>
      <w:r w:rsidRPr="008C6C50">
        <w:rPr>
          <w:rFonts w:ascii="Calibri" w:eastAsia="Calibri" w:hAnsi="Calibri" w:cs="AGA Rasheeq Bold"/>
          <w:i/>
          <w:iCs/>
          <w:sz w:val="48"/>
          <w:szCs w:val="48"/>
          <w:rtl/>
        </w:rPr>
        <w:t xml:space="preserve"> </w:t>
      </w:r>
      <w:r w:rsidRPr="008C6C50">
        <w:rPr>
          <w:rFonts w:asciiTheme="majorBidi" w:eastAsia="Calibri" w:hAnsiTheme="majorBidi" w:cstheme="majorBidi"/>
          <w:i/>
          <w:iCs/>
          <w:sz w:val="48"/>
          <w:szCs w:val="48"/>
          <w:rtl/>
        </w:rPr>
        <w:t>لشيء من القرآن</w:t>
      </w:r>
    </w:p>
    <w:p w:rsidR="00BF4DA3" w:rsidRPr="00634035" w:rsidRDefault="00BF4DA3" w:rsidP="00BF4DA3">
      <w:pPr>
        <w:pStyle w:val="papersubtitle"/>
        <w:bidi/>
        <w:rPr>
          <w:i/>
          <w:iCs/>
          <w:rtl/>
        </w:rPr>
      </w:pPr>
      <w:r w:rsidRPr="00634035">
        <w:rPr>
          <w:i/>
          <w:iCs/>
          <w:rtl/>
        </w:rPr>
        <w:t xml:space="preserve">بحث  فى </w:t>
      </w:r>
      <w:r w:rsidRPr="00634035">
        <w:rPr>
          <w:rFonts w:hint="cs"/>
          <w:i/>
          <w:iCs/>
          <w:rtl/>
        </w:rPr>
        <w:t>دفاع عن القراَن</w:t>
      </w:r>
    </w:p>
    <w:p w:rsidR="00BF4DA3" w:rsidRPr="009264EA" w:rsidRDefault="00BF4DA3" w:rsidP="00BF4DA3">
      <w:pPr>
        <w:pStyle w:val="papersubtitle"/>
        <w:bidi/>
        <w:rPr>
          <w:i/>
          <w:iCs/>
          <w:sz w:val="24"/>
          <w:szCs w:val="24"/>
        </w:rPr>
      </w:pPr>
      <w:r w:rsidRPr="009264EA">
        <w:rPr>
          <w:i/>
          <w:iCs/>
          <w:sz w:val="24"/>
          <w:szCs w:val="24"/>
          <w:rtl/>
        </w:rPr>
        <w:t xml:space="preserve">إعداد أ/ </w:t>
      </w:r>
      <w:r w:rsidRPr="00615DF9">
        <w:rPr>
          <w:rFonts w:hint="cs"/>
          <w:i/>
          <w:iCs/>
          <w:sz w:val="24"/>
          <w:szCs w:val="24"/>
          <w:rtl/>
        </w:rPr>
        <w:t>شادية</w:t>
      </w:r>
      <w:r w:rsidRPr="00615DF9">
        <w:rPr>
          <w:i/>
          <w:iCs/>
          <w:sz w:val="24"/>
          <w:szCs w:val="24"/>
          <w:rtl/>
        </w:rPr>
        <w:t xml:space="preserve"> </w:t>
      </w:r>
      <w:r w:rsidRPr="00615DF9">
        <w:rPr>
          <w:rFonts w:hint="cs"/>
          <w:i/>
          <w:iCs/>
          <w:sz w:val="24"/>
          <w:szCs w:val="24"/>
          <w:rtl/>
        </w:rPr>
        <w:t>بيومي</w:t>
      </w:r>
      <w:r w:rsidRPr="00615DF9">
        <w:rPr>
          <w:i/>
          <w:iCs/>
          <w:sz w:val="24"/>
          <w:szCs w:val="24"/>
          <w:rtl/>
        </w:rPr>
        <w:t xml:space="preserve"> </w:t>
      </w:r>
      <w:r w:rsidRPr="00615DF9">
        <w:rPr>
          <w:rFonts w:hint="cs"/>
          <w:i/>
          <w:iCs/>
          <w:sz w:val="24"/>
          <w:szCs w:val="24"/>
          <w:rtl/>
        </w:rPr>
        <w:t>حامد</w:t>
      </w:r>
      <w:r w:rsidRPr="00615DF9">
        <w:rPr>
          <w:i/>
          <w:iCs/>
          <w:sz w:val="24"/>
          <w:szCs w:val="24"/>
          <w:rtl/>
        </w:rPr>
        <w:t xml:space="preserve"> </w:t>
      </w:r>
      <w:r w:rsidRPr="00615DF9">
        <w:rPr>
          <w:rFonts w:hint="cs"/>
          <w:i/>
          <w:iCs/>
          <w:sz w:val="24"/>
          <w:szCs w:val="24"/>
          <w:rtl/>
        </w:rPr>
        <w:t>عطية</w:t>
      </w:r>
    </w:p>
    <w:p w:rsidR="00BF4DA3" w:rsidRPr="009264EA" w:rsidRDefault="00BF4DA3" w:rsidP="00BF4DA3">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F4DA3" w:rsidRPr="009264EA" w:rsidRDefault="00BF4DA3" w:rsidP="00BF4DA3">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F4DA3" w:rsidRPr="009264EA" w:rsidRDefault="00BF4DA3" w:rsidP="00BF4DA3">
      <w:pPr>
        <w:pStyle w:val="papersubtitle"/>
        <w:bidi/>
        <w:rPr>
          <w:i/>
          <w:iCs/>
          <w:sz w:val="22"/>
          <w:szCs w:val="22"/>
          <w:rtl/>
        </w:rPr>
      </w:pPr>
      <w:r w:rsidRPr="009264EA">
        <w:rPr>
          <w:i/>
          <w:iCs/>
          <w:sz w:val="22"/>
          <w:szCs w:val="22"/>
          <w:rtl/>
        </w:rPr>
        <w:t>شاه علم – ماليزيا</w:t>
      </w:r>
    </w:p>
    <w:p w:rsidR="00BF4DA3" w:rsidRDefault="00BF4DA3" w:rsidP="00BF4DA3">
      <w:pPr>
        <w:spacing w:after="120"/>
        <w:jc w:val="center"/>
        <w:rPr>
          <w:rFonts w:asciiTheme="majorBidi" w:hAnsiTheme="majorBidi" w:cs="AL-Hotham" w:hint="cs"/>
          <w:i/>
          <w:iCs/>
          <w:rtl/>
          <w:lang w:bidi="ar-EG"/>
        </w:rPr>
      </w:pPr>
      <w:r w:rsidRPr="00615DF9">
        <w:rPr>
          <w:rFonts w:asciiTheme="majorBidi" w:hAnsiTheme="majorBidi" w:cs="AL-Hotham"/>
          <w:i/>
          <w:iCs/>
        </w:rPr>
        <w:t>shadia@mediu.ws</w:t>
      </w:r>
    </w:p>
    <w:p w:rsidR="008C6C50" w:rsidRDefault="008C6C50" w:rsidP="008C6C50">
      <w:pPr>
        <w:spacing w:after="120" w:line="240" w:lineRule="auto"/>
        <w:rPr>
          <w:rFonts w:asciiTheme="majorBidi" w:hAnsiTheme="majorBidi" w:cstheme="majorBidi" w:hint="cs"/>
          <w:b/>
          <w:bCs/>
          <w:sz w:val="20"/>
          <w:szCs w:val="20"/>
          <w:rtl/>
          <w:lang w:bidi="ar-EG"/>
        </w:rPr>
      </w:pPr>
    </w:p>
    <w:p w:rsidR="00BF4DA3" w:rsidRDefault="00BF4DA3" w:rsidP="008C6C50">
      <w:pPr>
        <w:spacing w:after="120" w:line="240" w:lineRule="auto"/>
        <w:rPr>
          <w:rFonts w:asciiTheme="majorBidi" w:hAnsiTheme="majorBidi" w:cstheme="majorBidi"/>
          <w:b/>
          <w:bCs/>
          <w:sz w:val="20"/>
          <w:szCs w:val="20"/>
          <w:rtl/>
          <w:lang w:bidi="ar-EG"/>
        </w:rPr>
        <w:sectPr w:rsidR="00BF4DA3" w:rsidSect="00BF7572">
          <w:pgSz w:w="11906" w:h="16838"/>
          <w:pgMar w:top="964" w:right="1021" w:bottom="964" w:left="1021" w:header="709" w:footer="709" w:gutter="0"/>
          <w:cols w:space="708"/>
          <w:bidi/>
          <w:rtlGutter/>
          <w:docGrid w:linePitch="360"/>
        </w:sectPr>
      </w:pPr>
    </w:p>
    <w:p w:rsidR="008C6C50" w:rsidRPr="008C6C50" w:rsidRDefault="008C6C50" w:rsidP="008C6C50">
      <w:pPr>
        <w:spacing w:after="120" w:line="240" w:lineRule="auto"/>
        <w:rPr>
          <w:rFonts w:asciiTheme="majorBidi" w:hAnsiTheme="majorBidi" w:cstheme="majorBidi"/>
          <w:b/>
          <w:bCs/>
          <w:sz w:val="20"/>
          <w:szCs w:val="20"/>
          <w:rtl/>
        </w:rPr>
      </w:pPr>
      <w:r w:rsidRPr="008C6C50">
        <w:rPr>
          <w:rFonts w:asciiTheme="majorBidi" w:hAnsiTheme="majorBidi" w:cstheme="majorBidi"/>
          <w:b/>
          <w:bCs/>
          <w:sz w:val="20"/>
          <w:szCs w:val="20"/>
          <w:rtl/>
        </w:rPr>
        <w:lastRenderedPageBreak/>
        <w:t xml:space="preserve">خلاصة ـــ هذا البحث يبحث في </w:t>
      </w:r>
      <w:r w:rsidRPr="008C6C50">
        <w:rPr>
          <w:rFonts w:asciiTheme="majorBidi" w:eastAsia="Calibri" w:hAnsiTheme="majorBidi" w:cstheme="majorBidi"/>
          <w:b/>
          <w:bCs/>
          <w:sz w:val="20"/>
          <w:szCs w:val="20"/>
          <w:rtl/>
        </w:rPr>
        <w:t xml:space="preserve">الادِّعاء بجواز نسيان النبي </w:t>
      </w:r>
      <w:r w:rsidRPr="008C6C50">
        <w:rPr>
          <w:rFonts w:asciiTheme="majorBidi" w:eastAsia="Calibri" w:hAnsiTheme="majorBidi" w:cstheme="majorBidi"/>
          <w:b/>
          <w:bCs/>
          <w:position w:val="-4"/>
          <w:sz w:val="20"/>
          <w:szCs w:val="20"/>
        </w:rPr>
        <w:t></w:t>
      </w:r>
      <w:r w:rsidRPr="008C6C50">
        <w:rPr>
          <w:rFonts w:asciiTheme="majorBidi" w:eastAsia="Calibri" w:hAnsiTheme="majorBidi" w:cstheme="majorBidi"/>
          <w:b/>
          <w:bCs/>
          <w:sz w:val="20"/>
          <w:szCs w:val="20"/>
          <w:rtl/>
        </w:rPr>
        <w:t xml:space="preserve"> لشيء من القرآن</w:t>
      </w:r>
    </w:p>
    <w:p w:rsidR="008C6C50" w:rsidRPr="008C6C50" w:rsidRDefault="008C6C50" w:rsidP="008C6C50">
      <w:pPr>
        <w:spacing w:after="120" w:line="240" w:lineRule="auto"/>
        <w:rPr>
          <w:rFonts w:asciiTheme="majorBidi" w:hAnsiTheme="majorBidi" w:cstheme="majorBidi"/>
          <w:b/>
          <w:bCs/>
          <w:sz w:val="20"/>
          <w:szCs w:val="20"/>
          <w:rtl/>
          <w:lang w:bidi="ar-EG"/>
        </w:rPr>
      </w:pPr>
      <w:r w:rsidRPr="008C6C50">
        <w:rPr>
          <w:rFonts w:asciiTheme="majorBidi" w:hAnsiTheme="majorBidi" w:cstheme="majorBidi"/>
          <w:b/>
          <w:bCs/>
          <w:sz w:val="20"/>
          <w:szCs w:val="20"/>
          <w:rtl/>
        </w:rPr>
        <w:t xml:space="preserve">الكلمات المفتاحية : </w:t>
      </w:r>
      <w:r w:rsidRPr="008C6C50">
        <w:rPr>
          <w:rFonts w:asciiTheme="majorBidi" w:hAnsiTheme="majorBidi" w:cstheme="majorBidi"/>
          <w:b/>
          <w:bCs/>
          <w:sz w:val="20"/>
          <w:szCs w:val="20"/>
          <w:rtl/>
          <w:lang w:bidi="ar-EG"/>
        </w:rPr>
        <w:t>الادعاء</w:t>
      </w:r>
      <w:r w:rsidRPr="008C6C50">
        <w:rPr>
          <w:rFonts w:asciiTheme="majorBidi" w:hAnsiTheme="majorBidi" w:cstheme="majorBidi"/>
          <w:b/>
          <w:bCs/>
          <w:sz w:val="20"/>
          <w:szCs w:val="20"/>
          <w:rtl/>
        </w:rPr>
        <w:t xml:space="preserve"> ،</w:t>
      </w:r>
      <w:r w:rsidRPr="008C6C50">
        <w:rPr>
          <w:rFonts w:asciiTheme="majorBidi" w:hAnsiTheme="majorBidi" w:cstheme="majorBidi"/>
          <w:b/>
          <w:bCs/>
          <w:sz w:val="20"/>
          <w:szCs w:val="20"/>
          <w:rtl/>
          <w:lang w:bidi="ar-EG"/>
        </w:rPr>
        <w:t xml:space="preserve"> القرآن</w:t>
      </w:r>
      <w:r w:rsidRPr="008C6C50">
        <w:rPr>
          <w:rFonts w:asciiTheme="majorBidi" w:hAnsiTheme="majorBidi" w:cstheme="majorBidi"/>
          <w:b/>
          <w:bCs/>
          <w:sz w:val="20"/>
          <w:szCs w:val="20"/>
          <w:rtl/>
        </w:rPr>
        <w:t xml:space="preserve"> ،</w:t>
      </w:r>
      <w:r w:rsidRPr="008C6C50">
        <w:rPr>
          <w:rFonts w:asciiTheme="majorBidi" w:hAnsiTheme="majorBidi" w:cstheme="majorBidi"/>
          <w:b/>
          <w:bCs/>
          <w:sz w:val="20"/>
          <w:szCs w:val="20"/>
          <w:rtl/>
          <w:lang w:bidi="ar-EG"/>
        </w:rPr>
        <w:t>الشبهات</w:t>
      </w:r>
      <w:r w:rsidRPr="008C6C50">
        <w:rPr>
          <w:rFonts w:asciiTheme="majorBidi" w:hAnsiTheme="majorBidi" w:cstheme="majorBidi"/>
          <w:b/>
          <w:bCs/>
          <w:sz w:val="20"/>
          <w:szCs w:val="20"/>
          <w:rtl/>
        </w:rPr>
        <w:t xml:space="preserve"> </w:t>
      </w:r>
    </w:p>
    <w:p w:rsidR="008C6C50" w:rsidRPr="008C6C50" w:rsidRDefault="008C6C50" w:rsidP="008C6C50">
      <w:pPr>
        <w:pStyle w:val="ListParagraph"/>
        <w:numPr>
          <w:ilvl w:val="0"/>
          <w:numId w:val="1"/>
        </w:numPr>
        <w:spacing w:after="120"/>
        <w:jc w:val="center"/>
        <w:rPr>
          <w:rFonts w:asciiTheme="majorBidi" w:hAnsiTheme="majorBidi" w:cstheme="majorBidi"/>
          <w:b/>
          <w:bCs/>
          <w:sz w:val="20"/>
          <w:szCs w:val="20"/>
          <w:rtl/>
        </w:rPr>
      </w:pPr>
      <w:r w:rsidRPr="008C6C50">
        <w:rPr>
          <w:rFonts w:asciiTheme="majorBidi" w:hAnsiTheme="majorBidi" w:cstheme="majorBidi"/>
          <w:b/>
          <w:bCs/>
          <w:sz w:val="20"/>
          <w:szCs w:val="20"/>
          <w:rtl/>
        </w:rPr>
        <w:t>المقدمة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8C6C50">
        <w:rPr>
          <w:rFonts w:asciiTheme="majorBidi" w:eastAsia="Calibri" w:hAnsiTheme="majorBidi" w:cstheme="majorBidi"/>
          <w:b/>
          <w:bCs/>
          <w:sz w:val="20"/>
          <w:szCs w:val="20"/>
          <w:rtl/>
        </w:rPr>
        <w:t xml:space="preserve">الادِّعاء بجواز نسيان النبي </w:t>
      </w:r>
      <w:r w:rsidRPr="008C6C50">
        <w:rPr>
          <w:rFonts w:asciiTheme="majorBidi" w:eastAsia="Calibri" w:hAnsiTheme="majorBidi" w:cstheme="majorBidi"/>
          <w:b/>
          <w:bCs/>
          <w:position w:val="-4"/>
          <w:sz w:val="20"/>
          <w:szCs w:val="20"/>
        </w:rPr>
        <w:t></w:t>
      </w:r>
      <w:r w:rsidRPr="008C6C50">
        <w:rPr>
          <w:rFonts w:asciiTheme="majorBidi" w:eastAsia="Calibri" w:hAnsiTheme="majorBidi" w:cstheme="majorBidi"/>
          <w:b/>
          <w:bCs/>
          <w:sz w:val="20"/>
          <w:szCs w:val="20"/>
          <w:rtl/>
        </w:rPr>
        <w:t xml:space="preserve"> لشيء من القرآن</w:t>
      </w:r>
    </w:p>
    <w:p w:rsidR="008C6C50" w:rsidRPr="008C6C50" w:rsidRDefault="008C6C50" w:rsidP="008C6C5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8C6C50">
        <w:rPr>
          <w:rFonts w:asciiTheme="majorBidi" w:hAnsiTheme="majorBidi" w:cstheme="majorBidi"/>
          <w:b/>
          <w:bCs/>
          <w:sz w:val="20"/>
          <w:szCs w:val="20"/>
          <w:rtl/>
        </w:rPr>
        <w:t>عنوان المقال</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lang w:bidi="ar-EG"/>
        </w:rPr>
      </w:pPr>
      <w:r w:rsidRPr="008C6C50">
        <w:rPr>
          <w:rFonts w:asciiTheme="majorBidi" w:hAnsiTheme="majorBidi" w:cstheme="majorBidi"/>
          <w:b/>
          <w:bCs/>
          <w:sz w:val="20"/>
          <w:szCs w:val="20"/>
          <w:rtl/>
          <w:lang w:bidi="ar-EG"/>
        </w:rPr>
        <w:t xml:space="preserve">بعد الكلام على الادِّعاء الأول المتمثل في الادعاء بعدم كتابة القرآن كاملًا في حياة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وبعد الرَّدِّ على هذا الادعاء ردًّا شافيًا كافيًا وافيًا، ننتقل إلى ادِّعاء آخر ألا وهو الادِّعاء القائل بجواز نسيان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لشيء من القرآن، وهذا هو الادِّعاء الثاني في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بعضُ الملاحدة في الأصل الذي قامت عليه كتابة القرآن الكريم وجمعه، وهو حفظ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للقرآن بدعوى جواز النسيان على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وقد كانت لهم على تلك الدعوى أدلَّة؛ هذه الأدلة تتمثَّل في آية من كتاب الله، وفي حديث من أحاديث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وسنقف -بإذن رحلتنا مع الدعاوى، والطعون، والشبهات الموجَّهة للقرآن الكريم.</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فقد شكَّك الله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مع هذه الآية، ومع ذلك الحديث لنرى هل استدلالهم كان في محله أم لا.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pacing w:val="-6"/>
          <w:sz w:val="20"/>
          <w:szCs w:val="20"/>
          <w:rtl/>
          <w:lang w:bidi="ar-EG"/>
        </w:rPr>
        <w:t>أما الدليل الأول:</w:t>
      </w:r>
      <w:r w:rsidRPr="008C6C50">
        <w:rPr>
          <w:rFonts w:asciiTheme="majorBidi" w:hAnsiTheme="majorBidi" w:cstheme="majorBidi"/>
          <w:b/>
          <w:bCs/>
          <w:spacing w:val="-6"/>
          <w:sz w:val="20"/>
          <w:szCs w:val="20"/>
          <w:rtl/>
          <w:lang w:bidi="ar-EG"/>
        </w:rPr>
        <w:t xml:space="preserve"> فهو قوله </w:t>
      </w:r>
      <w:r w:rsidRPr="008C6C50">
        <w:rPr>
          <w:rFonts w:asciiTheme="majorBidi" w:hAnsiTheme="majorBidi" w:cstheme="majorBidi"/>
          <w:b/>
          <w:bCs/>
          <w:spacing w:val="-6"/>
          <w:position w:val="-4"/>
          <w:sz w:val="20"/>
          <w:szCs w:val="20"/>
          <w:lang w:bidi="ar-EG"/>
        </w:rPr>
        <w:t></w:t>
      </w:r>
      <w:r w:rsidRPr="008C6C50">
        <w:rPr>
          <w:rFonts w:asciiTheme="majorBidi" w:hAnsiTheme="majorBidi" w:cstheme="majorBidi"/>
          <w:b/>
          <w:bCs/>
          <w:spacing w:val="-6"/>
          <w:sz w:val="20"/>
          <w:szCs w:val="20"/>
          <w:rtl/>
          <w:lang w:bidi="ar-EG"/>
        </w:rPr>
        <w:t xml:space="preserve">: </w:t>
      </w:r>
      <w:r w:rsidRPr="008C6C50">
        <w:rPr>
          <w:rFonts w:ascii="Lotus Linotype" w:hAnsi="Lotus Linotype" w:cs="DecoType Thuluth"/>
          <w:color w:val="008000"/>
          <w:spacing w:val="-6"/>
          <w:sz w:val="20"/>
          <w:szCs w:val="20"/>
          <w:rtl/>
          <w:lang w:bidi="ar-EG"/>
        </w:rPr>
        <w:t>{</w:t>
      </w:r>
      <w:r w:rsidRPr="008C6C50">
        <w:rPr>
          <w:rFonts w:ascii="QCF_P591" w:hAnsi="QCF_P591" w:cs="QCF_P591"/>
          <w:color w:val="008000"/>
          <w:spacing w:val="-6"/>
          <w:sz w:val="20"/>
          <w:szCs w:val="20"/>
          <w:rtl/>
        </w:rPr>
        <w:t>ﯕ ﯖ ﯗ ﯘﯙ ﯚ ﯛ ﯜ</w:t>
      </w:r>
      <w:r w:rsidRPr="008C6C50">
        <w:rPr>
          <w:rFonts w:ascii="Lotus Linotype" w:hAnsi="Lotus Linotype" w:cs="DecoType Thuluth"/>
          <w:color w:val="008000"/>
          <w:spacing w:val="-6"/>
          <w:sz w:val="20"/>
          <w:szCs w:val="20"/>
          <w:rtl/>
          <w:lang w:bidi="ar-EG"/>
        </w:rPr>
        <w:t>}</w:t>
      </w:r>
      <w:r w:rsidRPr="008C6C50">
        <w:rPr>
          <w:rFonts w:ascii="Lotus Linotype" w:hAnsi="Lotus Linotype" w:cs="AL-Hotham"/>
          <w:color w:val="008000"/>
          <w:spacing w:val="-6"/>
          <w:sz w:val="20"/>
          <w:szCs w:val="20"/>
          <w:rtl/>
          <w:lang w:bidi="ar-EG"/>
        </w:rPr>
        <w:t xml:space="preserve"> </w:t>
      </w:r>
      <w:r w:rsidRPr="008C6C50">
        <w:rPr>
          <w:rFonts w:asciiTheme="majorBidi" w:hAnsiTheme="majorBidi" w:cstheme="majorBidi"/>
          <w:b/>
          <w:bCs/>
          <w:spacing w:val="-6"/>
          <w:sz w:val="20"/>
          <w:szCs w:val="20"/>
          <w:rtl/>
          <w:lang w:bidi="ar-EG"/>
        </w:rPr>
        <w:t>[الأعلى: 6، 7]</w:t>
      </w:r>
      <w:r w:rsidRPr="008C6C50">
        <w:rPr>
          <w:rFonts w:asciiTheme="majorBidi" w:hAnsiTheme="majorBidi" w:cstheme="majorBidi"/>
          <w:b/>
          <w:bCs/>
          <w:sz w:val="20"/>
          <w:szCs w:val="20"/>
          <w:rtl/>
          <w:lang w:bidi="ar-EG"/>
        </w:rPr>
        <w:t xml:space="preserve"> فزعموا أن هذه الآيات تدلُّ بطريق الاستثناء على أن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قد أُنسي بعض آيات القرآن الكريم، وتدل أيضًا على جواز النسيان على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أما الدليل الثاني:</w:t>
      </w:r>
      <w:r w:rsidRPr="008C6C50">
        <w:rPr>
          <w:rFonts w:asciiTheme="majorBidi" w:hAnsiTheme="majorBidi" w:cstheme="majorBidi"/>
          <w:b/>
          <w:bCs/>
          <w:sz w:val="20"/>
          <w:szCs w:val="20"/>
          <w:rtl/>
          <w:lang w:bidi="ar-EG"/>
        </w:rPr>
        <w:t xml:space="preserve"> فهو ذلك الحديث الذي رواه الإمام البخاري عن أم المؤمنين عائشة </w:t>
      </w:r>
      <w:r w:rsidRPr="008C6C50">
        <w:rPr>
          <w:rFonts w:asciiTheme="majorBidi" w:hAnsiTheme="majorBidi" w:cstheme="majorBidi"/>
          <w:b/>
          <w:bCs/>
          <w:position w:val="-4"/>
          <w:sz w:val="20"/>
          <w:szCs w:val="20"/>
          <w:rtl/>
          <w:lang w:bidi="ar-EG"/>
        </w:rPr>
        <w:t>&lt;</w:t>
      </w:r>
      <w:r w:rsidRPr="008C6C50">
        <w:rPr>
          <w:rFonts w:asciiTheme="majorBidi" w:hAnsiTheme="majorBidi" w:cstheme="majorBidi"/>
          <w:b/>
          <w:bCs/>
          <w:sz w:val="20"/>
          <w:szCs w:val="20"/>
          <w:rtl/>
          <w:lang w:bidi="ar-EG"/>
        </w:rPr>
        <w:t xml:space="preserve"> قالت: سمع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قارئًا يقرأ من الليل في المسجد، فقال:</w:t>
      </w:r>
      <w:r w:rsidRPr="008C6C50">
        <w:rPr>
          <w:rFonts w:asciiTheme="majorBidi" w:hAnsiTheme="majorBidi" w:cstheme="majorBidi"/>
          <w:b/>
          <w:bCs/>
          <w:color w:val="0000FF"/>
          <w:sz w:val="20"/>
          <w:szCs w:val="20"/>
          <w:rtl/>
          <w:lang w:bidi="ar-EG"/>
        </w:rPr>
        <w:t xml:space="preserve"> ((يرحمه الله لقد أذكرني كذا وكذا آية أسقطتها من سورة كذا وكذا))</w:t>
      </w:r>
      <w:r w:rsidRPr="008C6C50">
        <w:rPr>
          <w:rFonts w:asciiTheme="majorBidi" w:hAnsiTheme="majorBidi" w:cstheme="majorBidi"/>
          <w:b/>
          <w:bCs/>
          <w:sz w:val="20"/>
          <w:szCs w:val="20"/>
          <w:rtl/>
          <w:lang w:bidi="ar-EG"/>
        </w:rPr>
        <w:t xml:space="preserve">، وفي رواية: </w:t>
      </w:r>
      <w:r w:rsidRPr="008C6C50">
        <w:rPr>
          <w:rFonts w:asciiTheme="majorBidi" w:hAnsiTheme="majorBidi" w:cstheme="majorBidi"/>
          <w:b/>
          <w:bCs/>
          <w:color w:val="0000FF"/>
          <w:sz w:val="20"/>
          <w:szCs w:val="20"/>
          <w:rtl/>
          <w:lang w:bidi="ar-EG"/>
        </w:rPr>
        <w:t>((أُنسيتها من سورة كذا وكذا))</w:t>
      </w:r>
      <w:r w:rsidRPr="008C6C50">
        <w:rPr>
          <w:rFonts w:asciiTheme="majorBidi" w:hAnsiTheme="majorBidi" w:cstheme="majorBidi"/>
          <w:b/>
          <w:bCs/>
          <w:sz w:val="20"/>
          <w:szCs w:val="20"/>
          <w:rtl/>
          <w:lang w:bidi="ar-EG"/>
        </w:rPr>
        <w:t xml:space="preserve">، فزعموا أن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أسقط عمدًا بعض آيات القرآن، أو أنسيها.</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كانت هذه هي الأدلة التي استدلَّ بها الملاحدة والطاعنون على وقوع النسيان في حق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فيما يتعلق ببعض آيات القرآن. وفيما يلي أستعين بالله لأُبيِّن على تلك الدعوى: </w:t>
      </w:r>
    </w:p>
    <w:p w:rsidR="008C6C50" w:rsidRPr="008C6C50" w:rsidRDefault="008C6C50" w:rsidP="008C6C50">
      <w:pPr>
        <w:pStyle w:val="NormalWeb"/>
        <w:bidi/>
        <w:jc w:val="lowKashida"/>
        <w:rPr>
          <w:rFonts w:asciiTheme="majorBidi" w:hAnsiTheme="majorBidi" w:cstheme="majorBidi"/>
          <w:b/>
          <w:bCs/>
          <w:color w:val="000080"/>
          <w:sz w:val="20"/>
          <w:szCs w:val="20"/>
          <w:rtl/>
        </w:rPr>
      </w:pPr>
      <w:r w:rsidRPr="008C6C50">
        <w:rPr>
          <w:rFonts w:asciiTheme="majorBidi" w:hAnsiTheme="majorBidi" w:cstheme="majorBidi"/>
          <w:b/>
          <w:bCs/>
          <w:color w:val="000080"/>
          <w:sz w:val="20"/>
          <w:szCs w:val="20"/>
          <w:rtl/>
          <w:lang w:bidi="ar-EG"/>
        </w:rPr>
        <w:t xml:space="preserve">يُجاب عن دعواهم أن الآيات الكريمات تدل على جواز نسيان النبي </w:t>
      </w:r>
      <w:r w:rsidRPr="008C6C50">
        <w:rPr>
          <w:rFonts w:asciiTheme="majorBidi" w:hAnsiTheme="majorBidi" w:cstheme="majorBidi"/>
          <w:b/>
          <w:bCs/>
          <w:color w:val="000080"/>
          <w:position w:val="-4"/>
          <w:sz w:val="20"/>
          <w:szCs w:val="20"/>
          <w:lang w:bidi="ar-EG"/>
        </w:rPr>
        <w:t></w:t>
      </w:r>
      <w:r w:rsidRPr="008C6C50">
        <w:rPr>
          <w:rFonts w:asciiTheme="majorBidi" w:hAnsiTheme="majorBidi" w:cstheme="majorBidi"/>
          <w:b/>
          <w:bCs/>
          <w:color w:val="000080"/>
          <w:sz w:val="20"/>
          <w:szCs w:val="20"/>
          <w:rtl/>
          <w:lang w:bidi="ar-EG"/>
        </w:rPr>
        <w:t xml:space="preserve"> شيئًا من القرآن بعدَّة أجوبة: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أولا:</w:t>
      </w:r>
      <w:r w:rsidRPr="008C6C50">
        <w:rPr>
          <w:rFonts w:asciiTheme="majorBidi" w:hAnsiTheme="majorBidi" w:cstheme="majorBidi"/>
          <w:b/>
          <w:bCs/>
          <w:sz w:val="20"/>
          <w:szCs w:val="20"/>
          <w:rtl/>
          <w:lang w:bidi="ar-EG"/>
        </w:rPr>
        <w:t xml:space="preserve">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r w:rsidRPr="008C6C50">
        <w:rPr>
          <w:rFonts w:ascii="Lotus Linotype" w:hAnsi="Lotus Linotype" w:cs="DecoType Thuluth"/>
          <w:color w:val="008000"/>
          <w:sz w:val="20"/>
          <w:szCs w:val="20"/>
          <w:rtl/>
          <w:lang w:bidi="ar-EG"/>
        </w:rPr>
        <w:t>{</w:t>
      </w:r>
      <w:r w:rsidRPr="008C6C50">
        <w:rPr>
          <w:rFonts w:ascii="QCF_P591" w:hAnsi="QCF_P591" w:cs="QCF_P591"/>
          <w:color w:val="008000"/>
          <w:sz w:val="20"/>
          <w:szCs w:val="20"/>
          <w:rtl/>
        </w:rPr>
        <w:t>ﯕ ﯖ ﯗ</w:t>
      </w:r>
      <w:r w:rsidRPr="008C6C50">
        <w:rPr>
          <w:rFonts w:ascii="Lotus Linotype" w:hAnsi="Lotus Linotype" w:cs="DecoType Thuluth"/>
          <w:color w:val="008000"/>
          <w:sz w:val="20"/>
          <w:szCs w:val="20"/>
          <w:rtl/>
          <w:lang w:bidi="ar-EG"/>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 xml:space="preserve">[الأعلى: 6] هو وعد كريم بعدم نسيان ما يقرؤه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من القرآن؛ إذ إن "لا" في هذه الآية هي "لا" النافية، </w:t>
      </w:r>
      <w:r w:rsidRPr="008C6C50">
        <w:rPr>
          <w:rFonts w:asciiTheme="majorBidi" w:hAnsiTheme="majorBidi" w:cstheme="majorBidi"/>
          <w:b/>
          <w:bCs/>
          <w:sz w:val="20"/>
          <w:szCs w:val="20"/>
          <w:rtl/>
          <w:lang w:bidi="ar-EG"/>
        </w:rPr>
        <w:lastRenderedPageBreak/>
        <w:t xml:space="preserve">وليست ناهية، بدليل إشباع السين في قوله تعالى: </w:t>
      </w:r>
      <w:r w:rsidRPr="008C6C50">
        <w:rPr>
          <w:rFonts w:ascii="Lotus Linotype" w:hAnsi="Lotus Linotype" w:cs="DecoType Thuluth"/>
          <w:color w:val="008000"/>
          <w:sz w:val="20"/>
          <w:szCs w:val="20"/>
          <w:rtl/>
          <w:lang w:bidi="ar-EG"/>
        </w:rPr>
        <w:t>{</w:t>
      </w:r>
      <w:r w:rsidRPr="008C6C50">
        <w:rPr>
          <w:rFonts w:ascii="QCF_P591" w:hAnsi="QCF_P591" w:cs="QCF_P591"/>
          <w:color w:val="008000"/>
          <w:sz w:val="20"/>
          <w:szCs w:val="20"/>
          <w:rtl/>
        </w:rPr>
        <w:t>ﯖ ﯗ</w:t>
      </w:r>
      <w:r w:rsidRPr="008C6C50">
        <w:rPr>
          <w:rFonts w:ascii="Lotus Linotype" w:hAnsi="Lotus Linotype" w:cs="DecoType Thuluth"/>
          <w:color w:val="008000"/>
          <w:sz w:val="20"/>
          <w:szCs w:val="20"/>
          <w:rtl/>
          <w:lang w:bidi="ar-EG"/>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[الأعلى: 6]، فأخبر الله فيها بأنه لا ينسى ما أقرأه إيَّاه. وهناك قول يقول: بأن "لا" ناهية، وإنما وقع الإشباع في السين لتُناسب رءوس الآيات، ولكن القول الأول هو القول الأكثر؛ أي: على اعتبار أن "لا" نافية وليست ناهية.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قال الإمام القرطبي -رحمه الله- بعد أن ذكر القولين، والقول الأول -أي: الذي يجعل "لا" نافية- هو القول المختار، ومعنى الآية على هذا سنعلمك القرآن فلا تنساه، فهي تدل على عكس ما أرادوا الاستدلال به.</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ثانيًا:</w:t>
      </w:r>
      <w:r w:rsidRPr="008C6C50">
        <w:rPr>
          <w:rFonts w:asciiTheme="majorBidi" w:hAnsiTheme="majorBidi" w:cstheme="majorBidi"/>
          <w:b/>
          <w:bCs/>
          <w:sz w:val="20"/>
          <w:szCs w:val="20"/>
          <w:rtl/>
          <w:lang w:bidi="ar-EG"/>
        </w:rPr>
        <w:t xml:space="preserve"> إن الاستثناء في الآية معلَّق على مشيئة الله إيَّاه، والمشيئة لم تقع، بدليل ما مرَّ من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w:t>
      </w:r>
      <w:r w:rsidRPr="008C6C50">
        <w:rPr>
          <w:rFonts w:ascii="Lotus Linotype" w:hAnsi="Lotus Linotype" w:cs="DecoType Thuluth"/>
          <w:color w:val="008000"/>
          <w:sz w:val="20"/>
          <w:szCs w:val="20"/>
          <w:rtl/>
          <w:lang w:bidi="ar-EG"/>
        </w:rPr>
        <w:t>{</w:t>
      </w:r>
      <w:r w:rsidRPr="008C6C50">
        <w:rPr>
          <w:rFonts w:ascii="QCF_P577" w:hAnsi="QCF_P577" w:cs="QCF_P577"/>
          <w:color w:val="008000"/>
          <w:sz w:val="20"/>
          <w:szCs w:val="20"/>
          <w:rtl/>
        </w:rPr>
        <w:t>ﯿ ﰀ ﰁ ﰂ</w:t>
      </w:r>
      <w:r w:rsidRPr="008C6C50">
        <w:rPr>
          <w:rFonts w:ascii="QCF_P577" w:hAnsi="QCF_P577" w:cs="DecoType Thuluth"/>
          <w:color w:val="008000"/>
          <w:sz w:val="20"/>
          <w:szCs w:val="20"/>
          <w:rtl/>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[القيامة: 17]، ولأن عدم حصول المُعَلَّق عليه يستلزم عدم حصول المُعَلَّق، ويستحيل أن تتعلق مشيئة الله بعدم بلوغ الرسالة.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lang w:bidi="ar-EG"/>
        </w:rPr>
      </w:pPr>
      <w:r w:rsidRPr="008C6C50">
        <w:rPr>
          <w:rFonts w:asciiTheme="majorBidi" w:hAnsiTheme="majorBidi" w:cstheme="majorBidi"/>
          <w:b/>
          <w:bCs/>
          <w:color w:val="000080"/>
          <w:spacing w:val="-4"/>
          <w:sz w:val="20"/>
          <w:szCs w:val="20"/>
          <w:rtl/>
          <w:lang w:bidi="ar-EG"/>
        </w:rPr>
        <w:t xml:space="preserve">ثالثًا: </w:t>
      </w:r>
      <w:r w:rsidRPr="008C6C50">
        <w:rPr>
          <w:rFonts w:asciiTheme="majorBidi" w:hAnsiTheme="majorBidi" w:cstheme="majorBidi"/>
          <w:b/>
          <w:bCs/>
          <w:spacing w:val="-4"/>
          <w:sz w:val="20"/>
          <w:szCs w:val="20"/>
          <w:rtl/>
          <w:lang w:bidi="ar-EG"/>
        </w:rPr>
        <w:t xml:space="preserve">الاستثناء في الآية لا يدل على ما زعموا من أنه يدل على إمكان أن ينسى </w:t>
      </w:r>
      <w:r w:rsidRPr="008C6C50">
        <w:rPr>
          <w:rFonts w:asciiTheme="majorBidi" w:hAnsiTheme="majorBidi" w:cstheme="majorBidi"/>
          <w:b/>
          <w:bCs/>
          <w:spacing w:val="-4"/>
          <w:position w:val="-4"/>
          <w:sz w:val="20"/>
          <w:szCs w:val="20"/>
          <w:lang w:bidi="ar-EG"/>
        </w:rPr>
        <w:t></w:t>
      </w:r>
      <w:r w:rsidRPr="008C6C50">
        <w:rPr>
          <w:rFonts w:asciiTheme="majorBidi" w:hAnsiTheme="majorBidi" w:cstheme="majorBidi"/>
          <w:b/>
          <w:bCs/>
          <w:sz w:val="20"/>
          <w:szCs w:val="20"/>
          <w:rtl/>
          <w:lang w:bidi="ar-EG"/>
        </w:rPr>
        <w:t xml:space="preserve"> شيئًا من القرآن.</w:t>
      </w:r>
    </w:p>
    <w:p w:rsidR="008C6C50" w:rsidRPr="008C6C50" w:rsidRDefault="008C6C50" w:rsidP="008C6C50">
      <w:pPr>
        <w:pStyle w:val="NormalWeb"/>
        <w:bidi/>
        <w:jc w:val="lowKashida"/>
        <w:rPr>
          <w:rFonts w:asciiTheme="majorBidi" w:hAnsiTheme="majorBidi" w:cstheme="majorBidi"/>
          <w:b/>
          <w:bCs/>
          <w:color w:val="000080"/>
          <w:sz w:val="20"/>
          <w:szCs w:val="20"/>
          <w:rtl/>
        </w:rPr>
      </w:pPr>
      <w:r w:rsidRPr="008C6C50">
        <w:rPr>
          <w:rFonts w:asciiTheme="majorBidi" w:hAnsiTheme="majorBidi" w:cstheme="majorBidi"/>
          <w:b/>
          <w:bCs/>
          <w:color w:val="000080"/>
          <w:sz w:val="20"/>
          <w:szCs w:val="20"/>
          <w:rtl/>
          <w:lang w:bidi="ar-EG"/>
        </w:rPr>
        <w:t xml:space="preserve">وفي المراد بهذا الاستثناء قولان: </w:t>
      </w:r>
    </w:p>
    <w:p w:rsidR="008C6C50" w:rsidRPr="008C6C50" w:rsidRDefault="008C6C50" w:rsidP="008C6C50">
      <w:pPr>
        <w:pStyle w:val="NormalWeb"/>
        <w:bidi/>
        <w:spacing w:before="0" w:beforeAutospacing="0" w:after="120" w:afterAutospacing="0"/>
        <w:jc w:val="both"/>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القول الأول:</w:t>
      </w:r>
      <w:r w:rsidRPr="008C6C50">
        <w:rPr>
          <w:rFonts w:asciiTheme="majorBidi" w:hAnsiTheme="majorBidi" w:cstheme="majorBidi"/>
          <w:b/>
          <w:bCs/>
          <w:sz w:val="20"/>
          <w:szCs w:val="20"/>
          <w:rtl/>
          <w:lang w:bidi="ar-EG"/>
        </w:rPr>
        <w:t xml:space="preserve"> إن الاستثناء صوري أي: ليس بحقيقي، فهو للتبرك، وليس هناك شيء قد استثني، قال الإمام الفراء -رحمه الله: "لم يشأ الله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أن ينسى النبي شيئًا، وهو كقوله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r w:rsidRPr="008C6C50">
        <w:rPr>
          <w:rFonts w:ascii="Lotus Linotype" w:hAnsi="Lotus Linotype" w:cs="DecoType Thuluth"/>
          <w:color w:val="008000"/>
          <w:sz w:val="20"/>
          <w:szCs w:val="20"/>
          <w:rtl/>
          <w:lang w:bidi="ar-EG"/>
        </w:rPr>
        <w:t>{</w:t>
      </w:r>
      <w:r w:rsidRPr="008C6C50">
        <w:rPr>
          <w:rFonts w:ascii="QCF_P233" w:hAnsi="QCF_P233" w:cs="QCF_P233"/>
          <w:color w:val="008000"/>
          <w:sz w:val="20"/>
          <w:szCs w:val="20"/>
          <w:rtl/>
        </w:rPr>
        <w:t>ﯪ ﯫ ﯬ ﯭ ﯮ ﯯ ﯰ ﯱ ﯲ ﯳ</w:t>
      </w:r>
      <w:r w:rsidRPr="008C6C50">
        <w:rPr>
          <w:rFonts w:ascii="QCF_P233" w:hAnsi="QCF_P233" w:cs="DecoType Thuluth"/>
          <w:color w:val="008000"/>
          <w:sz w:val="20"/>
          <w:szCs w:val="20"/>
          <w:rtl/>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 xml:space="preserve">[هود: 107]، وأنت قائل في الكلام لأعطينك كل ما سألت إلا ما شئتُ، أو إلا أن أشاءَ أن أمنعك، مع أن نية القائل ألا يمنع. وعلى هذا يجري الحلف والأيمان، يُستثنى فيها ونية الحالف هي التمام.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pacing w:val="-4"/>
          <w:sz w:val="20"/>
          <w:szCs w:val="20"/>
          <w:rtl/>
          <w:lang w:bidi="ar-EG"/>
        </w:rPr>
        <w:t xml:space="preserve">وقيل: إن الحكمة في هذا الاستثناء الصوري أن يعلم العباد أن عدم نسيان النبي </w:t>
      </w:r>
      <w:r w:rsidRPr="008C6C50">
        <w:rPr>
          <w:rFonts w:asciiTheme="majorBidi" w:hAnsiTheme="majorBidi" w:cstheme="majorBidi"/>
          <w:b/>
          <w:bCs/>
          <w:spacing w:val="-4"/>
          <w:position w:val="-4"/>
          <w:sz w:val="20"/>
          <w:szCs w:val="20"/>
          <w:lang w:bidi="ar-EG"/>
        </w:rPr>
        <w:t></w:t>
      </w:r>
      <w:r w:rsidRPr="008C6C50">
        <w:rPr>
          <w:rFonts w:asciiTheme="majorBidi" w:hAnsiTheme="majorBidi" w:cstheme="majorBidi"/>
          <w:b/>
          <w:bCs/>
          <w:sz w:val="20"/>
          <w:szCs w:val="20"/>
          <w:rtl/>
          <w:lang w:bidi="ar-EG"/>
        </w:rPr>
        <w:t xml:space="preserve"> القرآن هو محض فضل الله، وإحسانه، ولو شاء تعالى أن يُنسيه شيئًا لأنساه، وفي ذلك إشعار للنبي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أنه دائمًا مغمور بنعمة الله، وعنايته، وإشعار للأمة بأن نبيهم مع ما خصَّ به من العطايا والخصائص لا يخرج عن دائرة العبودية، فلا يُفتنون به كما فُتن النصارى بالمسيح </w:t>
      </w:r>
      <w:r w:rsidRPr="008C6C50">
        <w:rPr>
          <w:rFonts w:asciiTheme="majorBidi" w:hAnsiTheme="majorBidi" w:cstheme="majorBidi"/>
          <w:b/>
          <w:bCs/>
          <w:position w:val="-4"/>
          <w:sz w:val="20"/>
          <w:szCs w:val="20"/>
          <w:rtl/>
          <w:lang w:bidi="ar-EG"/>
        </w:rPr>
        <w:t>#</w:t>
      </w:r>
      <w:r w:rsidRPr="008C6C50">
        <w:rPr>
          <w:rFonts w:asciiTheme="majorBidi" w:hAnsiTheme="majorBidi" w:cstheme="majorBidi"/>
          <w:b/>
          <w:bCs/>
          <w:sz w:val="20"/>
          <w:szCs w:val="20"/>
          <w:rtl/>
          <w:lang w:bidi="ar-EG"/>
        </w:rPr>
        <w:t>.</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القول الثاني في الاستثناء:</w:t>
      </w:r>
      <w:r w:rsidRPr="008C6C50">
        <w:rPr>
          <w:rFonts w:asciiTheme="majorBidi" w:hAnsiTheme="majorBidi" w:cstheme="majorBidi"/>
          <w:b/>
          <w:bCs/>
          <w:sz w:val="20"/>
          <w:szCs w:val="20"/>
          <w:rtl/>
          <w:lang w:bidi="ar-EG"/>
        </w:rPr>
        <w:t xml:space="preserve"> هو أن ذلك الاستثناء حقيقي، وأن المراد به منسوخ التلاوة؛ فيكون المعنى: أن الله تعالى وعد بألا يُنسي نبيه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ما يقرؤه إلا ما شاء الله -سبحانه- أن يُنسيه إيَّاه بأن نسخ تلاوته لحكمة معينة، أو ما يعرض للإنسان بحُكم الجبلَّة الإنسانية، أو لأجل تعليم الناس وتبيين السنة لهم.</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قال الإمام الطبري -رحمه الله-: "وقال آخرون: النسيان في هذا الموضع يراد به الترك، قالوا: ومعنى الكلام: سنقرئك يا محمد فلا تترك العمل بشيء منه، إلا ما شاء الله أن تترك العمل به مما نسخه".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Pr>
      </w:pPr>
      <w:r w:rsidRPr="008C6C50">
        <w:rPr>
          <w:rFonts w:asciiTheme="majorBidi" w:hAnsiTheme="majorBidi" w:cstheme="majorBidi"/>
          <w:b/>
          <w:bCs/>
          <w:sz w:val="20"/>
          <w:szCs w:val="20"/>
          <w:rtl/>
          <w:lang w:bidi="ar-EG"/>
        </w:rPr>
        <w:t xml:space="preserve">وبناء على ما سبق فلا تعلق لأصحاب هذه الدعوى بتلك الآيات؛ إذ لا يفهم منها أن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قد نسي حرفًا واحدًا مما أُمر بتبليغه، هذا فيما يتعلق بالآية.</w:t>
      </w:r>
    </w:p>
    <w:p w:rsidR="008C6C50" w:rsidRPr="008C6C50" w:rsidRDefault="008C6C50" w:rsidP="008C6C50">
      <w:pPr>
        <w:pStyle w:val="NormalWeb"/>
        <w:bidi/>
        <w:jc w:val="lowKashida"/>
        <w:rPr>
          <w:rFonts w:asciiTheme="majorBidi" w:hAnsiTheme="majorBidi" w:cstheme="majorBidi"/>
          <w:b/>
          <w:bCs/>
          <w:color w:val="000080"/>
          <w:sz w:val="20"/>
          <w:szCs w:val="20"/>
        </w:rPr>
      </w:pPr>
      <w:r w:rsidRPr="008C6C50">
        <w:rPr>
          <w:rFonts w:asciiTheme="majorBidi" w:hAnsiTheme="majorBidi" w:cstheme="majorBidi"/>
          <w:b/>
          <w:bCs/>
          <w:color w:val="000080"/>
          <w:sz w:val="20"/>
          <w:szCs w:val="20"/>
          <w:rtl/>
          <w:lang w:bidi="ar-EG"/>
        </w:rPr>
        <w:lastRenderedPageBreak/>
        <w:t>أما فيما يتعلق بالحديث الذي استدلُّوا به، فلنا في الجواب عليه عدَّة أجوبة: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pacing w:val="-4"/>
          <w:sz w:val="20"/>
          <w:szCs w:val="20"/>
          <w:rtl/>
          <w:lang w:bidi="ar-EG"/>
        </w:rPr>
        <w:t>أولًا:</w:t>
      </w:r>
      <w:r w:rsidRPr="008C6C50">
        <w:rPr>
          <w:rFonts w:asciiTheme="majorBidi" w:hAnsiTheme="majorBidi" w:cstheme="majorBidi"/>
          <w:b/>
          <w:bCs/>
          <w:spacing w:val="-4"/>
          <w:sz w:val="20"/>
          <w:szCs w:val="20"/>
          <w:rtl/>
          <w:lang w:bidi="ar-EG"/>
        </w:rPr>
        <w:t xml:space="preserve"> الحديث الذي أوردُوه لا ينهض حُجَّة لهم فيما زعموا من الشَّك في الأصل الذي قامت عليه كتابة القرآن وجمعه؛ إذ إن الآيات التي أُنسيها النبي </w:t>
      </w:r>
      <w:r w:rsidRPr="008C6C50">
        <w:rPr>
          <w:rFonts w:asciiTheme="majorBidi" w:hAnsiTheme="majorBidi" w:cstheme="majorBidi"/>
          <w:b/>
          <w:bCs/>
          <w:spacing w:val="-4"/>
          <w:position w:val="-4"/>
          <w:sz w:val="20"/>
          <w:szCs w:val="20"/>
          <w:lang w:bidi="ar-EG"/>
        </w:rPr>
        <w:t></w:t>
      </w:r>
      <w:r w:rsidRPr="008C6C50">
        <w:rPr>
          <w:rFonts w:asciiTheme="majorBidi" w:hAnsiTheme="majorBidi" w:cstheme="majorBidi"/>
          <w:b/>
          <w:bCs/>
          <w:spacing w:val="-4"/>
          <w:sz w:val="20"/>
          <w:szCs w:val="20"/>
          <w:rtl/>
          <w:lang w:bidi="ar-EG"/>
        </w:rPr>
        <w:t xml:space="preserve"> ثم ذكرها كانت مكتوبة بين يدي النبي </w:t>
      </w:r>
      <w:r w:rsidRPr="008C6C50">
        <w:rPr>
          <w:rFonts w:asciiTheme="majorBidi" w:hAnsiTheme="majorBidi" w:cstheme="majorBidi"/>
          <w:b/>
          <w:bCs/>
          <w:spacing w:val="-4"/>
          <w:position w:val="-4"/>
          <w:sz w:val="20"/>
          <w:szCs w:val="20"/>
          <w:lang w:bidi="ar-EG"/>
        </w:rPr>
        <w:t></w:t>
      </w:r>
      <w:r w:rsidRPr="008C6C50">
        <w:rPr>
          <w:rFonts w:asciiTheme="majorBidi" w:hAnsiTheme="majorBidi" w:cstheme="majorBidi"/>
          <w:b/>
          <w:bCs/>
          <w:spacing w:val="-4"/>
          <w:sz w:val="20"/>
          <w:szCs w:val="20"/>
          <w:rtl/>
          <w:lang w:bidi="ar-EG"/>
        </w:rPr>
        <w:t xml:space="preserve">، وكانت محفوظة في صدور أصحابه </w:t>
      </w:r>
      <w:r w:rsidRPr="008C6C50">
        <w:rPr>
          <w:rFonts w:asciiTheme="majorBidi" w:hAnsiTheme="majorBidi" w:cstheme="majorBidi"/>
          <w:b/>
          <w:bCs/>
          <w:spacing w:val="-4"/>
          <w:position w:val="-4"/>
          <w:sz w:val="20"/>
          <w:szCs w:val="20"/>
          <w:rtl/>
        </w:rPr>
        <w:t>}</w:t>
      </w:r>
      <w:r w:rsidRPr="008C6C50">
        <w:rPr>
          <w:rFonts w:asciiTheme="majorBidi" w:hAnsiTheme="majorBidi" w:cstheme="majorBidi"/>
          <w:b/>
          <w:bCs/>
          <w:spacing w:val="-4"/>
          <w:sz w:val="20"/>
          <w:szCs w:val="20"/>
          <w:rtl/>
          <w:lang w:bidi="ar-EG"/>
        </w:rPr>
        <w:t>،</w:t>
      </w:r>
      <w:r w:rsidRPr="008C6C50">
        <w:rPr>
          <w:rFonts w:asciiTheme="majorBidi" w:hAnsiTheme="majorBidi" w:cstheme="majorBidi"/>
          <w:b/>
          <w:bCs/>
          <w:sz w:val="20"/>
          <w:szCs w:val="20"/>
          <w:rtl/>
          <w:lang w:bidi="ar-EG"/>
        </w:rPr>
        <w:t xml:space="preserve"> أولئك الأصحاب الذين تلَقَوا هذه الآيات عن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أولئك الأصحاب الذين بلغ عددهم مبلغ التواتر، وإنما غاية ما فيه الدلالة على أن قراءة ذلك الصحابي قد ذكَّرت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بتلك الآيات، وكان قد أُنسيها، وليس في الخبر إشارة إلى أن هذه الآيات لم تكن مما كتبه كُتَّاب الوحي، وليس في الخبر كذلك ما يدل على أن أصحاب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كانوا قد نسوها جميعًا حتى يُخاف عليها من الضياع.</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ثانيًا:</w:t>
      </w:r>
      <w:r w:rsidRPr="008C6C50">
        <w:rPr>
          <w:rFonts w:asciiTheme="majorBidi" w:hAnsiTheme="majorBidi" w:cstheme="majorBidi"/>
          <w:b/>
          <w:bCs/>
          <w:sz w:val="20"/>
          <w:szCs w:val="20"/>
          <w:rtl/>
          <w:lang w:bidi="ar-EG"/>
        </w:rPr>
        <w:t xml:space="preserve"> روايات الحديث لا تُفيد أن هذه الآيات التي سمعها الرسول من أحد أصحابه كانت قد انمحت من ذهنه الشريف جملةً، بل غاية ما تفيده أنها كانت غائبة فقط عن ذهن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ثم تذكرها، وحضرت في ذهنه بقراءة ذلك الصحابي، وليس غيبة الشيء عن الذهن كمحوه من الذهن تمامًا. فالنسيان هنا بسبب انشغال ذهن النبي بأشياء أخرى. أما النسيان التام فهو مستحيل في حق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لإخلاله بوظيفة الرسالة والتبليغ.</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ثالثًا:</w:t>
      </w:r>
      <w:r w:rsidRPr="008C6C50">
        <w:rPr>
          <w:rFonts w:asciiTheme="majorBidi" w:hAnsiTheme="majorBidi" w:cstheme="majorBidi"/>
          <w:b/>
          <w:bCs/>
          <w:sz w:val="20"/>
          <w:szCs w:val="20"/>
          <w:rtl/>
          <w:lang w:bidi="ar-EG"/>
        </w:rPr>
        <w:t xml:space="preserve">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r w:rsidRPr="008C6C50">
        <w:rPr>
          <w:rFonts w:asciiTheme="majorBidi" w:hAnsiTheme="majorBidi" w:cstheme="majorBidi"/>
          <w:b/>
          <w:bCs/>
          <w:color w:val="0000FF"/>
          <w:sz w:val="20"/>
          <w:szCs w:val="20"/>
          <w:rtl/>
          <w:lang w:bidi="ar-EG"/>
        </w:rPr>
        <w:t>((أسقطتها))</w:t>
      </w:r>
      <w:r w:rsidRPr="008C6C50">
        <w:rPr>
          <w:rFonts w:asciiTheme="majorBidi" w:hAnsiTheme="majorBidi" w:cstheme="majorBidi"/>
          <w:b/>
          <w:bCs/>
          <w:sz w:val="20"/>
          <w:szCs w:val="20"/>
          <w:rtl/>
          <w:lang w:bidi="ar-EG"/>
        </w:rPr>
        <w:t xml:space="preserve"> مفسرة بقوله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 الرواية الأخرى: </w:t>
      </w:r>
      <w:r w:rsidRPr="008C6C50">
        <w:rPr>
          <w:rFonts w:asciiTheme="majorBidi" w:hAnsiTheme="majorBidi" w:cstheme="majorBidi"/>
          <w:b/>
          <w:bCs/>
          <w:color w:val="0000FF"/>
          <w:sz w:val="20"/>
          <w:szCs w:val="20"/>
          <w:rtl/>
          <w:lang w:bidi="ar-EG"/>
        </w:rPr>
        <w:t>((أنسيتها))</w:t>
      </w:r>
      <w:r w:rsidRPr="008C6C50">
        <w:rPr>
          <w:rFonts w:asciiTheme="majorBidi" w:hAnsiTheme="majorBidi" w:cstheme="majorBidi"/>
          <w:b/>
          <w:bCs/>
          <w:sz w:val="20"/>
          <w:szCs w:val="20"/>
          <w:rtl/>
          <w:lang w:bidi="ar-EG"/>
        </w:rPr>
        <w:t xml:space="preserve">؛ فدل ذلك على أنه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قد سقطت منه هذه الآيات نسيانًا لا عمدًا، فلا محلَّ لما أوردوه من أنه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قد يكون قد أسقط عمدًا بعض آيات القرآن.</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قال الإمام النووي -رحمه الله-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r w:rsidRPr="008C6C50">
        <w:rPr>
          <w:rFonts w:asciiTheme="majorBidi" w:hAnsiTheme="majorBidi" w:cstheme="majorBidi"/>
          <w:b/>
          <w:bCs/>
          <w:color w:val="0000FF"/>
          <w:sz w:val="20"/>
          <w:szCs w:val="20"/>
          <w:rtl/>
          <w:lang w:bidi="ar-EG"/>
        </w:rPr>
        <w:t>((كنت أنسيتها))</w:t>
      </w:r>
      <w:r w:rsidRPr="008C6C50">
        <w:rPr>
          <w:rFonts w:asciiTheme="majorBidi" w:hAnsiTheme="majorBidi" w:cstheme="majorBidi"/>
          <w:b/>
          <w:bCs/>
          <w:sz w:val="20"/>
          <w:szCs w:val="20"/>
          <w:rtl/>
          <w:lang w:bidi="ar-EG"/>
        </w:rPr>
        <w:t xml:space="preserve"> دليل على جواز النسيان على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فيما قد بلَّغه إلى الأمة. وهاهنا تأتي مسألة في غاية الأهمية، هذه المسألة هي مسألة وقوع النسيان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ووقوع النسيان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يكون على قسمين:</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pacing w:val="-6"/>
          <w:sz w:val="20"/>
          <w:szCs w:val="20"/>
          <w:rtl/>
        </w:rPr>
      </w:pPr>
      <w:r w:rsidRPr="008C6C50">
        <w:rPr>
          <w:rFonts w:asciiTheme="majorBidi" w:hAnsiTheme="majorBidi" w:cstheme="majorBidi"/>
          <w:b/>
          <w:bCs/>
          <w:color w:val="000080"/>
          <w:spacing w:val="-6"/>
          <w:sz w:val="20"/>
          <w:szCs w:val="20"/>
          <w:rtl/>
          <w:lang w:bidi="ar-EG"/>
        </w:rPr>
        <w:t>القسم الأول:</w:t>
      </w:r>
      <w:r w:rsidRPr="008C6C50">
        <w:rPr>
          <w:rFonts w:asciiTheme="majorBidi" w:hAnsiTheme="majorBidi" w:cstheme="majorBidi"/>
          <w:b/>
          <w:bCs/>
          <w:spacing w:val="-6"/>
          <w:sz w:val="20"/>
          <w:szCs w:val="20"/>
          <w:rtl/>
          <w:lang w:bidi="ar-EG"/>
        </w:rPr>
        <w:t xml:space="preserve"> وقوع النسيان منه </w:t>
      </w:r>
      <w:r w:rsidRPr="008C6C50">
        <w:rPr>
          <w:rFonts w:asciiTheme="majorBidi" w:hAnsiTheme="majorBidi" w:cstheme="majorBidi"/>
          <w:b/>
          <w:bCs/>
          <w:spacing w:val="-6"/>
          <w:position w:val="-4"/>
          <w:sz w:val="20"/>
          <w:szCs w:val="20"/>
          <w:lang w:bidi="ar-EG"/>
        </w:rPr>
        <w:t></w:t>
      </w:r>
      <w:r w:rsidRPr="008C6C50">
        <w:rPr>
          <w:rFonts w:asciiTheme="majorBidi" w:hAnsiTheme="majorBidi" w:cstheme="majorBidi"/>
          <w:b/>
          <w:bCs/>
          <w:spacing w:val="-6"/>
          <w:sz w:val="20"/>
          <w:szCs w:val="20"/>
          <w:rtl/>
          <w:lang w:bidi="ar-EG"/>
        </w:rPr>
        <w:t xml:space="preserve"> فيما ليس طريقه البلاغ، وهذا القسم جائز مطلقًا لما جُبل عليه النبي </w:t>
      </w:r>
      <w:r w:rsidRPr="008C6C50">
        <w:rPr>
          <w:rFonts w:asciiTheme="majorBidi" w:hAnsiTheme="majorBidi" w:cstheme="majorBidi"/>
          <w:b/>
          <w:bCs/>
          <w:spacing w:val="-6"/>
          <w:position w:val="-4"/>
          <w:sz w:val="20"/>
          <w:szCs w:val="20"/>
          <w:lang w:bidi="ar-EG"/>
        </w:rPr>
        <w:t></w:t>
      </w:r>
      <w:r w:rsidRPr="008C6C50">
        <w:rPr>
          <w:rFonts w:asciiTheme="majorBidi" w:hAnsiTheme="majorBidi" w:cstheme="majorBidi"/>
          <w:b/>
          <w:bCs/>
          <w:spacing w:val="-6"/>
          <w:sz w:val="20"/>
          <w:szCs w:val="20"/>
          <w:rtl/>
          <w:lang w:bidi="ar-EG"/>
        </w:rPr>
        <w:t xml:space="preserve"> من الطبيعة البشرية، كما حدث في سهوه في الصلاة </w:t>
      </w:r>
      <w:r w:rsidRPr="008C6C50">
        <w:rPr>
          <w:rFonts w:asciiTheme="majorBidi" w:hAnsiTheme="majorBidi" w:cstheme="majorBidi"/>
          <w:b/>
          <w:bCs/>
          <w:spacing w:val="-6"/>
          <w:position w:val="-4"/>
          <w:sz w:val="20"/>
          <w:szCs w:val="20"/>
          <w:lang w:bidi="ar-EG"/>
        </w:rPr>
        <w:t></w:t>
      </w:r>
      <w:r w:rsidRPr="008C6C50">
        <w:rPr>
          <w:rFonts w:asciiTheme="majorBidi" w:hAnsiTheme="majorBidi" w:cstheme="majorBidi"/>
          <w:b/>
          <w:bCs/>
          <w:spacing w:val="-6"/>
          <w:sz w:val="20"/>
          <w:szCs w:val="20"/>
          <w:rtl/>
          <w:lang w:bidi="ar-EG"/>
        </w:rPr>
        <w:t>.</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أما القسم الثاني:</w:t>
      </w:r>
      <w:r w:rsidRPr="008C6C50">
        <w:rPr>
          <w:rFonts w:asciiTheme="majorBidi" w:hAnsiTheme="majorBidi" w:cstheme="majorBidi"/>
          <w:b/>
          <w:bCs/>
          <w:sz w:val="20"/>
          <w:szCs w:val="20"/>
          <w:rtl/>
          <w:lang w:bidi="ar-EG"/>
        </w:rPr>
        <w:t xml:space="preserve"> فهو وقوع النسيان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 شيء من الوحي، أو فيما طريقه البلاغ، وهذا قد يقع بشرطين:</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الشرط الأول:</w:t>
      </w:r>
      <w:r w:rsidRPr="008C6C50">
        <w:rPr>
          <w:rFonts w:asciiTheme="majorBidi" w:hAnsiTheme="majorBidi" w:cstheme="majorBidi"/>
          <w:b/>
          <w:bCs/>
          <w:sz w:val="20"/>
          <w:szCs w:val="20"/>
          <w:rtl/>
          <w:lang w:bidi="ar-EG"/>
        </w:rPr>
        <w:t xml:space="preserve"> أن يقع منه النسيان بعدما يقع التبليغ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أو بعدما يقوم النبي بالبلاغ، أما قبل التبليغ أو البلاغ فلا يجوز عليه النسيان أصلًا. قال الإمام النووي في شرح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w:t>
      </w:r>
      <w:r w:rsidRPr="008C6C50">
        <w:rPr>
          <w:rFonts w:asciiTheme="majorBidi" w:hAnsiTheme="majorBidi" w:cstheme="majorBidi"/>
          <w:b/>
          <w:bCs/>
          <w:color w:val="0000FF"/>
          <w:sz w:val="20"/>
          <w:szCs w:val="20"/>
          <w:rtl/>
          <w:lang w:bidi="ar-EG"/>
        </w:rPr>
        <w:t>((كنت أنسيتها))</w:t>
      </w:r>
      <w:r w:rsidRPr="008C6C50">
        <w:rPr>
          <w:rFonts w:asciiTheme="majorBidi" w:hAnsiTheme="majorBidi" w:cstheme="majorBidi"/>
          <w:b/>
          <w:bCs/>
          <w:sz w:val="20"/>
          <w:szCs w:val="20"/>
          <w:rtl/>
          <w:lang w:bidi="ar-EG"/>
        </w:rPr>
        <w:t xml:space="preserve"> يقول: "هذا دليل على جواز النسيان عليه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فيما قد بلغه إلى الأمة".</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أما الشرط الثاني:</w:t>
      </w:r>
      <w:r w:rsidRPr="008C6C50">
        <w:rPr>
          <w:rFonts w:asciiTheme="majorBidi" w:hAnsiTheme="majorBidi" w:cstheme="majorBidi"/>
          <w:b/>
          <w:bCs/>
          <w:sz w:val="20"/>
          <w:szCs w:val="20"/>
          <w:rtl/>
          <w:lang w:bidi="ar-EG"/>
        </w:rPr>
        <w:t xml:space="preserve"> فقد يقع من النبي النسيان فيما طريقه البلاغ بشرط ألا يستمرَّ على النسيان، بل يحصل 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التذكر، إما أن يتذكر بنفسه، وإما أن يذكره غيره.</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قال القاضي عياض -رحمه الله: "جمهور المحققين على جواز النسيان عليه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ابتداء فيما ليس طريقه البلاغ، واختلفوا فيما طريقه البلاغ والتعليم، ولكن من جوَّز ذلك قال: لا يُقرُّ عليه بل لا بد أن يتذكره أو يُذكّره".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ونسيان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لشيء مما طريقه البلاغ يكون على قسمين أيضًا، قال الإمام الإسماعيلي: النسيان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لشيء من القرآن يكون على قمسين: </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pacing w:val="-4"/>
          <w:sz w:val="20"/>
          <w:szCs w:val="20"/>
          <w:rtl/>
          <w:lang w:bidi="ar-EG"/>
        </w:rPr>
        <w:lastRenderedPageBreak/>
        <w:t>أحدهما:</w:t>
      </w:r>
      <w:r w:rsidRPr="008C6C50">
        <w:rPr>
          <w:rFonts w:asciiTheme="majorBidi" w:hAnsiTheme="majorBidi" w:cstheme="majorBidi"/>
          <w:b/>
          <w:bCs/>
          <w:spacing w:val="-4"/>
          <w:sz w:val="20"/>
          <w:szCs w:val="20"/>
          <w:rtl/>
          <w:lang w:bidi="ar-EG"/>
        </w:rPr>
        <w:t xml:space="preserve"> نسيانه الذي يتذكره عن قرب، وذلك قائم بالطباع البشرية، وعليه يدل قوله </w:t>
      </w:r>
      <w:r w:rsidRPr="008C6C50">
        <w:rPr>
          <w:rFonts w:asciiTheme="majorBidi" w:hAnsiTheme="majorBidi" w:cstheme="majorBidi"/>
          <w:b/>
          <w:bCs/>
          <w:spacing w:val="-4"/>
          <w:position w:val="-4"/>
          <w:sz w:val="20"/>
          <w:szCs w:val="20"/>
          <w:lang w:bidi="ar-EG"/>
        </w:rPr>
        <w:t></w:t>
      </w:r>
      <w:r w:rsidRPr="008C6C50">
        <w:rPr>
          <w:rFonts w:asciiTheme="majorBidi" w:hAnsiTheme="majorBidi" w:cstheme="majorBidi"/>
          <w:b/>
          <w:bCs/>
          <w:spacing w:val="-4"/>
          <w:sz w:val="20"/>
          <w:szCs w:val="20"/>
          <w:rtl/>
          <w:lang w:bidi="ar-EG"/>
        </w:rPr>
        <w:t xml:space="preserve"> في حديث ابن مسعود في السهو: </w:t>
      </w:r>
      <w:r w:rsidRPr="008C6C50">
        <w:rPr>
          <w:rFonts w:asciiTheme="majorBidi" w:hAnsiTheme="majorBidi" w:cstheme="majorBidi"/>
          <w:b/>
          <w:bCs/>
          <w:color w:val="0000FF"/>
          <w:spacing w:val="-4"/>
          <w:sz w:val="20"/>
          <w:szCs w:val="20"/>
          <w:rtl/>
          <w:lang w:bidi="ar-EG"/>
        </w:rPr>
        <w:t>((إنما أنا بشر مثلكم أنسى كما تنسون))</w:t>
      </w:r>
      <w:r w:rsidRPr="008C6C50">
        <w:rPr>
          <w:rFonts w:asciiTheme="majorBidi" w:hAnsiTheme="majorBidi" w:cstheme="majorBidi"/>
          <w:b/>
          <w:bCs/>
          <w:sz w:val="20"/>
          <w:szCs w:val="20"/>
          <w:rtl/>
          <w:lang w:bidi="ar-EG"/>
        </w:rPr>
        <w:t xml:space="preserve">، وهذا القسم عارض سريع الزوال؛ لظاهر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w:t>
      </w:r>
      <w:r w:rsidRPr="008C6C50">
        <w:rPr>
          <w:rFonts w:ascii="Lotus Linotype" w:hAnsi="Lotus Linotype" w:cs="AL-Hotham"/>
          <w:sz w:val="20"/>
          <w:szCs w:val="20"/>
          <w:rtl/>
          <w:lang w:bidi="ar-EG"/>
        </w:rPr>
        <w:t xml:space="preserve"> </w:t>
      </w:r>
      <w:r w:rsidRPr="008C6C50">
        <w:rPr>
          <w:rFonts w:ascii="Lotus Linotype" w:hAnsi="Lotus Linotype" w:cs="DecoType Thuluth"/>
          <w:color w:val="008000"/>
          <w:sz w:val="20"/>
          <w:szCs w:val="20"/>
          <w:rtl/>
          <w:lang w:bidi="ar-EG"/>
        </w:rPr>
        <w:t>{</w:t>
      </w:r>
      <w:r w:rsidRPr="008C6C50">
        <w:rPr>
          <w:rFonts w:ascii="QCF_P262" w:hAnsi="QCF_P262" w:cs="QCF_P262"/>
          <w:color w:val="008000"/>
          <w:sz w:val="20"/>
          <w:szCs w:val="20"/>
          <w:rtl/>
        </w:rPr>
        <w:t>ﮗ ﮘ ﮙ ﮚ ﮛ ﮜ ﮝ</w:t>
      </w:r>
      <w:r w:rsidRPr="008C6C50">
        <w:rPr>
          <w:rFonts w:ascii="QCF_P262" w:hAnsi="QCF_P262" w:cs="DecoType Thuluth"/>
          <w:color w:val="008000"/>
          <w:sz w:val="20"/>
          <w:szCs w:val="20"/>
          <w:rtl/>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[الحجر: 9].</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color w:val="000080"/>
          <w:sz w:val="20"/>
          <w:szCs w:val="20"/>
          <w:rtl/>
          <w:lang w:bidi="ar-EG"/>
        </w:rPr>
        <w:t>أما القسم الثاني:</w:t>
      </w:r>
      <w:r w:rsidRPr="008C6C50">
        <w:rPr>
          <w:rFonts w:asciiTheme="majorBidi" w:hAnsiTheme="majorBidi" w:cstheme="majorBidi"/>
          <w:b/>
          <w:bCs/>
          <w:sz w:val="20"/>
          <w:szCs w:val="20"/>
          <w:rtl/>
          <w:lang w:bidi="ar-EG"/>
        </w:rPr>
        <w:t xml:space="preserve"> فهو أن يرفعه الله عن قلبه على إرادة نسخ التلاوة، وهو المُشار إليه بالاستثناء في قوله تعالى: </w:t>
      </w:r>
      <w:r w:rsidRPr="008C6C50">
        <w:rPr>
          <w:rFonts w:ascii="Lotus Linotype" w:hAnsi="Lotus Linotype" w:cs="DecoType Thuluth"/>
          <w:color w:val="008000"/>
          <w:sz w:val="20"/>
          <w:szCs w:val="20"/>
          <w:rtl/>
          <w:lang w:bidi="ar-EG"/>
        </w:rPr>
        <w:t>{</w:t>
      </w:r>
      <w:r w:rsidRPr="008C6C50">
        <w:rPr>
          <w:rFonts w:ascii="QCF_P591" w:hAnsi="QCF_P591" w:cs="QCF_P591"/>
          <w:color w:val="008000"/>
          <w:sz w:val="20"/>
          <w:szCs w:val="20"/>
          <w:rtl/>
        </w:rPr>
        <w:t>ﯕ ﯖ ﯗ ﯘﯙ ﯚ ﯛ ﯜ</w:t>
      </w:r>
      <w:r w:rsidRPr="008C6C50">
        <w:rPr>
          <w:rFonts w:ascii="QCF_P591" w:hAnsi="QCF_P591" w:cs="DecoType Thuluth"/>
          <w:color w:val="008000"/>
          <w:sz w:val="20"/>
          <w:szCs w:val="20"/>
          <w:rtl/>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 xml:space="preserve">[الأعلى: 6، 7] وذلك على بعض الأقوال. وهذا القسم داخل في قوله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w:t>
      </w:r>
      <w:r w:rsidRPr="008C6C50">
        <w:rPr>
          <w:rFonts w:ascii="Lotus Linotype" w:hAnsi="Lotus Linotype" w:cs="DecoType Thuluth"/>
          <w:color w:val="008000"/>
          <w:sz w:val="20"/>
          <w:szCs w:val="20"/>
          <w:rtl/>
          <w:lang w:bidi="ar-EG"/>
        </w:rPr>
        <w:t>{</w:t>
      </w:r>
      <w:r w:rsidRPr="008C6C50">
        <w:rPr>
          <w:rFonts w:ascii="QCF_P017" w:hAnsi="QCF_P017" w:cs="QCF_P017"/>
          <w:color w:val="008000"/>
          <w:sz w:val="20"/>
          <w:szCs w:val="20"/>
          <w:rtl/>
        </w:rPr>
        <w:t>ﭒ ﭓ ﭔ ﭕ ﭖ ﭗ ﭘ ﭙ ﭚ ﭛ ﭜ</w:t>
      </w:r>
      <w:r w:rsidRPr="008C6C50">
        <w:rPr>
          <w:rFonts w:ascii="QCF_P017" w:hAnsi="QCF_P017" w:cs="DecoType Thuluth"/>
          <w:color w:val="008000"/>
          <w:sz w:val="20"/>
          <w:szCs w:val="20"/>
          <w:rtl/>
        </w:rPr>
        <w:t>}</w:t>
      </w:r>
      <w:r w:rsidRPr="008C6C50">
        <w:rPr>
          <w:rFonts w:ascii="Lotus Linotype" w:hAnsi="Lotus Linotype" w:cs="AL-Hotham"/>
          <w:color w:val="008000"/>
          <w:sz w:val="20"/>
          <w:szCs w:val="20"/>
          <w:rtl/>
          <w:lang w:bidi="ar-EG"/>
        </w:rPr>
        <w:t xml:space="preserve"> </w:t>
      </w:r>
      <w:r w:rsidRPr="008C6C50">
        <w:rPr>
          <w:rFonts w:asciiTheme="majorBidi" w:hAnsiTheme="majorBidi" w:cstheme="majorBidi"/>
          <w:b/>
          <w:bCs/>
          <w:sz w:val="20"/>
          <w:szCs w:val="20"/>
          <w:rtl/>
          <w:lang w:bidi="ar-EG"/>
        </w:rPr>
        <w:t>[البقرة: 106].</w:t>
      </w:r>
    </w:p>
    <w:p w:rsidR="008C6C50" w:rsidRPr="008C6C50" w:rsidRDefault="008C6C50" w:rsidP="008C6C50">
      <w:pPr>
        <w:pStyle w:val="NormalWeb"/>
        <w:bidi/>
        <w:spacing w:before="0" w:beforeAutospacing="0" w:after="120" w:afterAutospacing="0"/>
        <w:jc w:val="lowKashida"/>
        <w:rPr>
          <w:rFonts w:asciiTheme="majorBidi" w:hAnsiTheme="majorBidi" w:cstheme="majorBidi"/>
          <w:b/>
          <w:bCs/>
          <w:sz w:val="20"/>
          <w:szCs w:val="20"/>
          <w:rtl/>
        </w:rPr>
      </w:pPr>
      <w:r w:rsidRPr="008C6C50">
        <w:rPr>
          <w:rFonts w:asciiTheme="majorBidi" w:hAnsiTheme="majorBidi" w:cstheme="majorBidi"/>
          <w:b/>
          <w:bCs/>
          <w:sz w:val="20"/>
          <w:szCs w:val="20"/>
          <w:rtl/>
          <w:lang w:bidi="ar-EG"/>
        </w:rPr>
        <w:t xml:space="preserve">وزعم بعض الأصوليين وبعض الصوفية أنه لا يقع النسيان من النبي </w:t>
      </w:r>
      <w:r w:rsidRPr="008C6C50">
        <w:rPr>
          <w:rFonts w:asciiTheme="majorBidi" w:hAnsiTheme="majorBidi" w:cstheme="majorBidi"/>
          <w:b/>
          <w:bCs/>
          <w:position w:val="-4"/>
          <w:sz w:val="20"/>
          <w:szCs w:val="20"/>
          <w:lang w:bidi="ar-EG"/>
        </w:rPr>
        <w:t></w:t>
      </w:r>
      <w:r w:rsidRPr="008C6C50">
        <w:rPr>
          <w:rFonts w:asciiTheme="majorBidi" w:hAnsiTheme="majorBidi" w:cstheme="majorBidi"/>
          <w:b/>
          <w:bCs/>
          <w:sz w:val="20"/>
          <w:szCs w:val="20"/>
          <w:rtl/>
          <w:lang w:bidi="ar-EG"/>
        </w:rPr>
        <w:t xml:space="preserve"> في شيء أصلًا؛ وإنما يقع منه صورته ليُسِنَّ. قال الإمام القاضي عياض -رحمه الله- تعليقًا على هذا القول، قال: "وهذا تناقض مردود، ولم يقل بهذا أحد ممن يُقتدى به إلا الأستاذ الإسفراييني من شيوخنا، فإنه مال إليه، ورجحه، وهو ضعيف متناقض".</w:t>
      </w:r>
    </w:p>
    <w:p w:rsidR="008C6C50" w:rsidRPr="008C6C50" w:rsidRDefault="008C6C50" w:rsidP="008C6C50">
      <w:pPr>
        <w:spacing w:after="120" w:line="240" w:lineRule="auto"/>
        <w:jc w:val="center"/>
        <w:rPr>
          <w:rFonts w:asciiTheme="majorBidi" w:hAnsiTheme="majorBidi" w:cstheme="majorBidi"/>
          <w:b/>
          <w:bCs/>
          <w:sz w:val="20"/>
          <w:szCs w:val="20"/>
          <w:rtl/>
        </w:rPr>
      </w:pPr>
      <w:r w:rsidRPr="008C6C50">
        <w:rPr>
          <w:rFonts w:asciiTheme="majorBidi" w:hAnsiTheme="majorBidi" w:cstheme="majorBidi"/>
          <w:b/>
          <w:bCs/>
          <w:sz w:val="20"/>
          <w:szCs w:val="20"/>
          <w:rtl/>
        </w:rPr>
        <w:t>المصادر والمراجع</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tl/>
        </w:rPr>
      </w:pPr>
      <w:r w:rsidRPr="008C6C5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tl/>
        </w:rPr>
      </w:pPr>
      <w:r w:rsidRPr="008C6C5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tl/>
        </w:rPr>
      </w:pPr>
      <w:r w:rsidRPr="008C6C50">
        <w:rPr>
          <w:rFonts w:asciiTheme="majorBidi" w:hAnsiTheme="majorBidi" w:cstheme="majorBidi"/>
          <w:b/>
          <w:bCs/>
          <w:sz w:val="20"/>
          <w:szCs w:val="20"/>
          <w:rtl/>
        </w:rPr>
        <w:t>أبي داود، ابن أبي داود، تحقيق: محب الدين واعظ، (المصاحف) ، دار البشائر الإسلامية، 2002م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tl/>
        </w:rPr>
      </w:pPr>
      <w:r w:rsidRPr="008C6C5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tl/>
        </w:rPr>
      </w:pPr>
      <w:r w:rsidRPr="008C6C5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أبو زهرة، محمد أبو زهرة، (المعجزة الكبرى القرآن)  ، دار طيب للنشر، 2003م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8C6C50" w:rsidRPr="008C6C50" w:rsidRDefault="008C6C50" w:rsidP="008C6C50">
      <w:pPr>
        <w:numPr>
          <w:ilvl w:val="0"/>
          <w:numId w:val="2"/>
        </w:numPr>
        <w:spacing w:after="120" w:line="240" w:lineRule="auto"/>
        <w:jc w:val="lowKashida"/>
        <w:rPr>
          <w:rFonts w:asciiTheme="majorBidi" w:hAnsiTheme="majorBidi" w:cstheme="majorBidi"/>
          <w:b/>
          <w:bCs/>
          <w:sz w:val="20"/>
          <w:szCs w:val="20"/>
        </w:rPr>
      </w:pPr>
      <w:r w:rsidRPr="008C6C5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8C6C50" w:rsidRPr="008C6C50" w:rsidRDefault="008C6C50" w:rsidP="008C6C50">
      <w:pPr>
        <w:rPr>
          <w:i/>
          <w:iCs/>
          <w:sz w:val="20"/>
          <w:szCs w:val="20"/>
          <w:rtl/>
        </w:rPr>
        <w:sectPr w:rsidR="008C6C50" w:rsidRPr="008C6C50" w:rsidSect="008C6C50">
          <w:type w:val="continuous"/>
          <w:pgSz w:w="11906" w:h="16838"/>
          <w:pgMar w:top="964" w:right="1021" w:bottom="964" w:left="1021" w:header="709" w:footer="709" w:gutter="0"/>
          <w:cols w:num="2" w:space="708"/>
          <w:bidi/>
          <w:rtlGutter/>
          <w:docGrid w:linePitch="360"/>
        </w:sectPr>
      </w:pPr>
    </w:p>
    <w:p w:rsidR="008C6C50" w:rsidRPr="008C6C50" w:rsidRDefault="008C6C50" w:rsidP="008C6C50">
      <w:pPr>
        <w:rPr>
          <w:i/>
          <w:iCs/>
          <w:sz w:val="20"/>
          <w:szCs w:val="20"/>
        </w:rPr>
      </w:pPr>
    </w:p>
    <w:sectPr w:rsidR="008C6C50" w:rsidRPr="008C6C50" w:rsidSect="008C6C5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GA Rasheeq Bold">
    <w:panose1 w:val="00000000000000000000"/>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91">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33">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82E890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C6C50"/>
    <w:rsid w:val="00117E83"/>
    <w:rsid w:val="003B410E"/>
    <w:rsid w:val="00514443"/>
    <w:rsid w:val="008C6C50"/>
    <w:rsid w:val="009556CB"/>
    <w:rsid w:val="00BF4DA3"/>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8C6C5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8C6C5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C6C5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2013-06-22T13:24:00Z</dcterms:created>
  <dcterms:modified xsi:type="dcterms:W3CDTF">2013-06-26T21:52:00Z</dcterms:modified>
</cp:coreProperties>
</file>