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8BF" w:rsidRPr="00306090" w:rsidRDefault="001448BF" w:rsidP="001448BF">
      <w:pPr>
        <w:spacing w:line="240" w:lineRule="auto"/>
        <w:jc w:val="center"/>
        <w:rPr>
          <w:sz w:val="48"/>
          <w:szCs w:val="48"/>
          <w:rtl/>
        </w:rPr>
      </w:pPr>
      <w:r w:rsidRPr="004D5388">
        <w:rPr>
          <w:rFonts w:asciiTheme="majorBidi" w:eastAsia="Calibri" w:hAnsiTheme="majorBidi" w:cstheme="majorBidi"/>
          <w:sz w:val="48"/>
          <w:szCs w:val="48"/>
          <w:rtl/>
        </w:rPr>
        <w:t xml:space="preserve">الآثار الواردة عن ابن عباس فيما يتعلق بوقوع الخطأ في كتابة </w:t>
      </w:r>
      <w:r w:rsidRPr="00306090">
        <w:rPr>
          <w:rFonts w:asciiTheme="majorBidi" w:eastAsia="Calibri" w:hAnsiTheme="majorBidi" w:cstheme="majorBidi"/>
          <w:sz w:val="48"/>
          <w:szCs w:val="48"/>
          <w:rtl/>
        </w:rPr>
        <w:t>المصاحف العثمانية، والرد عليها</w:t>
      </w:r>
    </w:p>
    <w:p w:rsidR="001448BF" w:rsidRPr="00306090" w:rsidRDefault="001448BF" w:rsidP="001448BF">
      <w:pPr>
        <w:spacing w:line="240" w:lineRule="auto"/>
        <w:jc w:val="center"/>
        <w:rPr>
          <w:sz w:val="48"/>
          <w:szCs w:val="48"/>
          <w:rtl/>
        </w:rPr>
      </w:pPr>
      <w:r w:rsidRPr="00306090">
        <w:rPr>
          <w:rFonts w:hint="cs"/>
          <w:sz w:val="48"/>
          <w:szCs w:val="48"/>
          <w:rtl/>
        </w:rPr>
        <w:t>(</w:t>
      </w:r>
      <w:r>
        <w:rPr>
          <w:rFonts w:hint="cs"/>
          <w:sz w:val="48"/>
          <w:szCs w:val="48"/>
          <w:rtl/>
        </w:rPr>
        <w:t>3</w:t>
      </w:r>
      <w:r w:rsidRPr="00306090">
        <w:rPr>
          <w:rFonts w:hint="cs"/>
          <w:sz w:val="48"/>
          <w:szCs w:val="48"/>
          <w:rtl/>
        </w:rPr>
        <w:t>)</w:t>
      </w:r>
    </w:p>
    <w:p w:rsidR="00EC3D6E" w:rsidRPr="00634035" w:rsidRDefault="00EC3D6E" w:rsidP="00EC3D6E">
      <w:pPr>
        <w:pStyle w:val="papersubtitle"/>
        <w:bidi/>
        <w:rPr>
          <w:i/>
          <w:iCs/>
          <w:rtl/>
        </w:rPr>
      </w:pPr>
      <w:r w:rsidRPr="00634035">
        <w:rPr>
          <w:i/>
          <w:iCs/>
          <w:rtl/>
        </w:rPr>
        <w:t xml:space="preserve">بحث  فى </w:t>
      </w:r>
      <w:r w:rsidRPr="00634035">
        <w:rPr>
          <w:rFonts w:hint="cs"/>
          <w:i/>
          <w:iCs/>
          <w:rtl/>
        </w:rPr>
        <w:t>دفاع عن القراَن</w:t>
      </w:r>
    </w:p>
    <w:p w:rsidR="00EC3D6E" w:rsidRPr="009264EA" w:rsidRDefault="00EC3D6E" w:rsidP="00EC3D6E">
      <w:pPr>
        <w:pStyle w:val="papersubtitle"/>
        <w:bidi/>
        <w:rPr>
          <w:i/>
          <w:iCs/>
          <w:sz w:val="24"/>
          <w:szCs w:val="24"/>
        </w:rPr>
      </w:pPr>
      <w:r w:rsidRPr="009264EA">
        <w:rPr>
          <w:i/>
          <w:iCs/>
          <w:sz w:val="24"/>
          <w:szCs w:val="24"/>
          <w:rtl/>
        </w:rPr>
        <w:t xml:space="preserve">إعداد أ/ </w:t>
      </w:r>
      <w:r w:rsidRPr="00644E05">
        <w:rPr>
          <w:rFonts w:hint="cs"/>
          <w:i/>
          <w:iCs/>
          <w:sz w:val="24"/>
          <w:szCs w:val="24"/>
          <w:rtl/>
        </w:rPr>
        <w:t>أحمد</w:t>
      </w:r>
      <w:r w:rsidRPr="00644E05">
        <w:rPr>
          <w:i/>
          <w:iCs/>
          <w:sz w:val="24"/>
          <w:szCs w:val="24"/>
          <w:rtl/>
        </w:rPr>
        <w:t xml:space="preserve"> </w:t>
      </w:r>
      <w:r w:rsidRPr="00644E05">
        <w:rPr>
          <w:rFonts w:hint="cs"/>
          <w:i/>
          <w:iCs/>
          <w:sz w:val="24"/>
          <w:szCs w:val="24"/>
          <w:rtl/>
        </w:rPr>
        <w:t>عبد</w:t>
      </w:r>
      <w:r w:rsidRPr="00644E05">
        <w:rPr>
          <w:i/>
          <w:iCs/>
          <w:sz w:val="24"/>
          <w:szCs w:val="24"/>
          <w:rtl/>
        </w:rPr>
        <w:t xml:space="preserve"> </w:t>
      </w:r>
      <w:r w:rsidRPr="00644E05">
        <w:rPr>
          <w:rFonts w:hint="cs"/>
          <w:i/>
          <w:iCs/>
          <w:sz w:val="24"/>
          <w:szCs w:val="24"/>
          <w:rtl/>
        </w:rPr>
        <w:t>الحميد</w:t>
      </w:r>
      <w:r w:rsidRPr="00644E05">
        <w:rPr>
          <w:i/>
          <w:iCs/>
          <w:sz w:val="24"/>
          <w:szCs w:val="24"/>
          <w:rtl/>
        </w:rPr>
        <w:t xml:space="preserve"> </w:t>
      </w:r>
      <w:r w:rsidRPr="00644E05">
        <w:rPr>
          <w:rFonts w:hint="cs"/>
          <w:i/>
          <w:iCs/>
          <w:sz w:val="24"/>
          <w:szCs w:val="24"/>
          <w:rtl/>
        </w:rPr>
        <w:t>مهدي</w:t>
      </w:r>
    </w:p>
    <w:p w:rsidR="00EC3D6E" w:rsidRPr="009264EA" w:rsidRDefault="00EC3D6E" w:rsidP="00EC3D6E">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EC3D6E" w:rsidRPr="009264EA" w:rsidRDefault="00EC3D6E" w:rsidP="00EC3D6E">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EC3D6E" w:rsidRPr="009264EA" w:rsidRDefault="00EC3D6E" w:rsidP="00EC3D6E">
      <w:pPr>
        <w:pStyle w:val="papersubtitle"/>
        <w:bidi/>
        <w:rPr>
          <w:i/>
          <w:iCs/>
          <w:sz w:val="22"/>
          <w:szCs w:val="22"/>
          <w:rtl/>
        </w:rPr>
      </w:pPr>
      <w:r w:rsidRPr="009264EA">
        <w:rPr>
          <w:i/>
          <w:iCs/>
          <w:sz w:val="22"/>
          <w:szCs w:val="22"/>
          <w:rtl/>
        </w:rPr>
        <w:t>شاه علم – ماليزيا</w:t>
      </w:r>
    </w:p>
    <w:p w:rsidR="00EC3D6E" w:rsidRDefault="00EC3D6E" w:rsidP="00EC3D6E">
      <w:pPr>
        <w:spacing w:after="120" w:line="240" w:lineRule="auto"/>
        <w:jc w:val="center"/>
        <w:rPr>
          <w:rFonts w:asciiTheme="majorBidi" w:hAnsiTheme="majorBidi" w:cstheme="majorBidi"/>
          <w:b/>
          <w:bCs/>
          <w:sz w:val="20"/>
          <w:szCs w:val="20"/>
        </w:rPr>
      </w:pPr>
      <w:r w:rsidRPr="00644E05">
        <w:rPr>
          <w:rFonts w:asciiTheme="majorBidi" w:hAnsiTheme="majorBidi" w:cs="AL-Hotham"/>
          <w:i/>
          <w:iCs/>
        </w:rPr>
        <w:t>ahmed.mahdey@mediu.ws</w:t>
      </w:r>
    </w:p>
    <w:p w:rsidR="001448BF" w:rsidRPr="00EC3D6E" w:rsidRDefault="001448BF" w:rsidP="001448BF">
      <w:pPr>
        <w:spacing w:line="240" w:lineRule="auto"/>
        <w:jc w:val="center"/>
        <w:rPr>
          <w:rFonts w:ascii="Calibri" w:hAnsi="Calibri" w:cs="AL-Mateen"/>
          <w:sz w:val="32"/>
          <w:szCs w:val="32"/>
          <w:lang w:bidi="ar-EG"/>
        </w:rPr>
      </w:pPr>
    </w:p>
    <w:p w:rsidR="001448BF" w:rsidRDefault="001448BF" w:rsidP="001448BF">
      <w:pPr>
        <w:spacing w:after="120"/>
        <w:rPr>
          <w:rFonts w:asciiTheme="majorBidi" w:hAnsiTheme="majorBidi" w:cstheme="majorBidi"/>
          <w:b/>
          <w:bCs/>
          <w:sz w:val="20"/>
          <w:szCs w:val="20"/>
          <w:rtl/>
        </w:rPr>
        <w:sectPr w:rsidR="001448BF" w:rsidSect="00BF7572">
          <w:pgSz w:w="11906" w:h="16838"/>
          <w:pgMar w:top="964" w:right="1021" w:bottom="964" w:left="1021" w:header="709" w:footer="709" w:gutter="0"/>
          <w:cols w:space="708"/>
          <w:bidi/>
          <w:rtlGutter/>
          <w:docGrid w:linePitch="360"/>
        </w:sectPr>
      </w:pPr>
    </w:p>
    <w:p w:rsidR="001448BF" w:rsidRPr="001448BF" w:rsidRDefault="001448BF" w:rsidP="001448BF">
      <w:pPr>
        <w:spacing w:after="120"/>
        <w:rPr>
          <w:rFonts w:asciiTheme="majorBidi" w:hAnsiTheme="majorBidi" w:cstheme="majorBidi"/>
          <w:b/>
          <w:bCs/>
          <w:sz w:val="20"/>
          <w:szCs w:val="20"/>
          <w:rtl/>
        </w:rPr>
      </w:pPr>
      <w:r w:rsidRPr="001448BF">
        <w:rPr>
          <w:rFonts w:asciiTheme="majorBidi" w:hAnsiTheme="majorBidi" w:cstheme="majorBidi"/>
          <w:b/>
          <w:bCs/>
          <w:sz w:val="20"/>
          <w:szCs w:val="20"/>
          <w:rtl/>
        </w:rPr>
        <w:lastRenderedPageBreak/>
        <w:t xml:space="preserve">خلاصة ـــ هذا البحث يبحث في </w:t>
      </w:r>
      <w:r w:rsidRPr="001448BF">
        <w:rPr>
          <w:rFonts w:asciiTheme="majorBidi" w:eastAsia="Calibri" w:hAnsiTheme="majorBidi" w:cstheme="majorBidi"/>
          <w:b/>
          <w:bCs/>
          <w:sz w:val="20"/>
          <w:szCs w:val="20"/>
          <w:rtl/>
        </w:rPr>
        <w:t>الآثار الواردة عن ابن عباس فيما يتعلق بوقوع الخطأ في كتابة المصاحف العثمانية، والرد عليها</w:t>
      </w:r>
    </w:p>
    <w:p w:rsidR="001448BF" w:rsidRPr="001448BF" w:rsidRDefault="001448BF" w:rsidP="001448BF">
      <w:pPr>
        <w:spacing w:after="120"/>
        <w:rPr>
          <w:rFonts w:asciiTheme="majorBidi" w:hAnsiTheme="majorBidi" w:cstheme="majorBidi"/>
          <w:b/>
          <w:bCs/>
          <w:sz w:val="20"/>
          <w:szCs w:val="20"/>
          <w:rtl/>
          <w:lang w:bidi="ar-EG"/>
        </w:rPr>
      </w:pPr>
      <w:r w:rsidRPr="001448BF">
        <w:rPr>
          <w:rFonts w:asciiTheme="majorBidi" w:hAnsiTheme="majorBidi" w:cstheme="majorBidi"/>
          <w:b/>
          <w:bCs/>
          <w:sz w:val="20"/>
          <w:szCs w:val="20"/>
          <w:rtl/>
        </w:rPr>
        <w:t xml:space="preserve">الكلمات المفتاحية : </w:t>
      </w:r>
      <w:r w:rsidRPr="001448BF">
        <w:rPr>
          <w:rFonts w:asciiTheme="majorBidi" w:hAnsiTheme="majorBidi" w:cstheme="majorBidi"/>
          <w:b/>
          <w:bCs/>
          <w:sz w:val="20"/>
          <w:szCs w:val="20"/>
          <w:rtl/>
          <w:lang w:bidi="ar-EG"/>
        </w:rPr>
        <w:t>الآثار</w:t>
      </w:r>
      <w:r w:rsidRPr="001448BF">
        <w:rPr>
          <w:rFonts w:asciiTheme="majorBidi" w:hAnsiTheme="majorBidi" w:cstheme="majorBidi"/>
          <w:b/>
          <w:bCs/>
          <w:sz w:val="20"/>
          <w:szCs w:val="20"/>
          <w:rtl/>
        </w:rPr>
        <w:t xml:space="preserve"> ،</w:t>
      </w:r>
      <w:r w:rsidRPr="001448BF">
        <w:rPr>
          <w:rFonts w:asciiTheme="majorBidi" w:hAnsiTheme="majorBidi" w:cstheme="majorBidi"/>
          <w:b/>
          <w:bCs/>
          <w:sz w:val="20"/>
          <w:szCs w:val="20"/>
          <w:rtl/>
          <w:lang w:bidi="ar-EG"/>
        </w:rPr>
        <w:t xml:space="preserve"> المصاحف</w:t>
      </w:r>
      <w:r w:rsidRPr="001448BF">
        <w:rPr>
          <w:rFonts w:asciiTheme="majorBidi" w:hAnsiTheme="majorBidi" w:cstheme="majorBidi"/>
          <w:b/>
          <w:bCs/>
          <w:sz w:val="20"/>
          <w:szCs w:val="20"/>
          <w:rtl/>
        </w:rPr>
        <w:t xml:space="preserve"> ،</w:t>
      </w:r>
      <w:r w:rsidRPr="001448BF">
        <w:rPr>
          <w:rFonts w:asciiTheme="majorBidi" w:hAnsiTheme="majorBidi" w:cstheme="majorBidi"/>
          <w:b/>
          <w:bCs/>
          <w:sz w:val="20"/>
          <w:szCs w:val="20"/>
          <w:rtl/>
          <w:lang w:bidi="ar-EG"/>
        </w:rPr>
        <w:t xml:space="preserve"> الطاعنون</w:t>
      </w:r>
      <w:r w:rsidRPr="001448BF">
        <w:rPr>
          <w:rFonts w:asciiTheme="majorBidi" w:hAnsiTheme="majorBidi" w:cstheme="majorBidi"/>
          <w:b/>
          <w:bCs/>
          <w:sz w:val="20"/>
          <w:szCs w:val="20"/>
          <w:rtl/>
        </w:rPr>
        <w:t xml:space="preserve"> </w:t>
      </w:r>
    </w:p>
    <w:p w:rsidR="001448BF" w:rsidRPr="001448BF" w:rsidRDefault="001448BF" w:rsidP="001448BF">
      <w:pPr>
        <w:pStyle w:val="ListParagraph"/>
        <w:numPr>
          <w:ilvl w:val="0"/>
          <w:numId w:val="1"/>
        </w:numPr>
        <w:spacing w:after="120" w:line="276" w:lineRule="auto"/>
        <w:jc w:val="center"/>
        <w:rPr>
          <w:rFonts w:asciiTheme="majorBidi" w:hAnsiTheme="majorBidi" w:cstheme="majorBidi"/>
          <w:b/>
          <w:bCs/>
          <w:sz w:val="20"/>
          <w:szCs w:val="20"/>
          <w:rtl/>
        </w:rPr>
      </w:pPr>
      <w:r w:rsidRPr="001448BF">
        <w:rPr>
          <w:rFonts w:asciiTheme="majorBidi" w:hAnsiTheme="majorBidi" w:cstheme="majorBidi"/>
          <w:b/>
          <w:bCs/>
          <w:sz w:val="20"/>
          <w:szCs w:val="20"/>
          <w:rtl/>
        </w:rPr>
        <w:t>المقدمة</w:t>
      </w:r>
    </w:p>
    <w:p w:rsidR="001448BF" w:rsidRPr="001448BF" w:rsidRDefault="001448BF" w:rsidP="001448BF">
      <w:pPr>
        <w:pStyle w:val="NormalWeb"/>
        <w:bidi/>
        <w:spacing w:before="0" w:beforeAutospacing="0" w:after="120" w:afterAutospacing="0" w:line="276" w:lineRule="auto"/>
        <w:jc w:val="lowKashida"/>
        <w:rPr>
          <w:rFonts w:asciiTheme="majorBidi" w:hAnsiTheme="majorBidi" w:cstheme="majorBidi"/>
          <w:b/>
          <w:bCs/>
          <w:sz w:val="20"/>
          <w:szCs w:val="20"/>
          <w:rtl/>
        </w:rPr>
      </w:pPr>
      <w:r w:rsidRPr="001448BF">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1448BF">
        <w:rPr>
          <w:rFonts w:asciiTheme="majorBidi" w:eastAsia="Calibri" w:hAnsiTheme="majorBidi" w:cstheme="majorBidi"/>
          <w:b/>
          <w:bCs/>
          <w:sz w:val="20"/>
          <w:szCs w:val="20"/>
          <w:rtl/>
        </w:rPr>
        <w:t>الآثار الواردة عن ابن عباس فيما يتعلق بوقوع الخطأ في كتابة المصاحف العثمانية، والرد عليها</w:t>
      </w:r>
    </w:p>
    <w:p w:rsidR="001448BF" w:rsidRPr="001448BF" w:rsidRDefault="001448BF" w:rsidP="001448BF">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1448BF">
        <w:rPr>
          <w:rFonts w:asciiTheme="majorBidi" w:hAnsiTheme="majorBidi" w:cstheme="majorBidi"/>
          <w:b/>
          <w:bCs/>
          <w:sz w:val="20"/>
          <w:szCs w:val="20"/>
          <w:rtl/>
        </w:rPr>
        <w:t>عنوان المقال</w:t>
      </w:r>
    </w:p>
    <w:p w:rsidR="001448BF" w:rsidRPr="001448BF" w:rsidRDefault="001448BF" w:rsidP="001448BF">
      <w:pPr>
        <w:pStyle w:val="NormalWeb"/>
        <w:bidi/>
        <w:spacing w:before="0" w:beforeAutospacing="0" w:after="120" w:afterAutospacing="0" w:line="276" w:lineRule="auto"/>
        <w:jc w:val="lowKashida"/>
        <w:rPr>
          <w:rFonts w:asciiTheme="majorBidi" w:hAnsiTheme="majorBidi" w:cstheme="majorBidi"/>
          <w:b/>
          <w:bCs/>
          <w:sz w:val="20"/>
          <w:szCs w:val="20"/>
          <w:rtl/>
        </w:rPr>
      </w:pPr>
      <w:r w:rsidRPr="001448BF">
        <w:rPr>
          <w:rFonts w:asciiTheme="majorBidi" w:hAnsiTheme="majorBidi" w:cstheme="majorBidi"/>
          <w:b/>
          <w:bCs/>
          <w:sz w:val="20"/>
          <w:szCs w:val="20"/>
          <w:rtl/>
          <w:lang w:bidi="ar-EG"/>
        </w:rPr>
        <w:t xml:space="preserve">أما على التفسير الثاني؛ بأن المراد بالفرقان هو النصر فتكون الواو لازمة لتغاير المعطوف والمعطوف عليه، ويكون المراد بالضياء التوراة أو الشريعة. وبذلك نكون قد أنهينا الجواب على الأثر المتعلق بسورة "الأنبياء". </w:t>
      </w:r>
    </w:p>
    <w:p w:rsidR="001448BF" w:rsidRPr="001448BF" w:rsidRDefault="001448BF" w:rsidP="001448BF">
      <w:pPr>
        <w:pStyle w:val="NormalWeb"/>
        <w:bidi/>
        <w:spacing w:before="0" w:beforeAutospacing="0" w:after="120" w:afterAutospacing="0" w:line="276" w:lineRule="auto"/>
        <w:jc w:val="lowKashida"/>
        <w:rPr>
          <w:rFonts w:asciiTheme="majorBidi" w:hAnsiTheme="majorBidi" w:cstheme="majorBidi"/>
          <w:b/>
          <w:bCs/>
          <w:sz w:val="20"/>
          <w:szCs w:val="20"/>
          <w:rtl/>
        </w:rPr>
      </w:pPr>
      <w:r w:rsidRPr="001448BF">
        <w:rPr>
          <w:rFonts w:asciiTheme="majorBidi" w:hAnsiTheme="majorBidi" w:cstheme="majorBidi"/>
          <w:b/>
          <w:bCs/>
          <w:color w:val="000080"/>
          <w:sz w:val="20"/>
          <w:szCs w:val="20"/>
          <w:rtl/>
          <w:lang w:bidi="ar-EG"/>
        </w:rPr>
        <w:t>أما الأثر الخامس</w:t>
      </w:r>
      <w:r w:rsidRPr="001448BF">
        <w:rPr>
          <w:rFonts w:asciiTheme="majorBidi" w:hAnsiTheme="majorBidi" w:cstheme="majorBidi"/>
          <w:b/>
          <w:bCs/>
          <w:sz w:val="20"/>
          <w:szCs w:val="20"/>
          <w:rtl/>
          <w:lang w:bidi="ar-EG"/>
        </w:rPr>
        <w:t xml:space="preserve">: المتعلق بسورة "النور"، والذي يبين أن ابن عباس كان يقرأ قوله </w:t>
      </w:r>
      <w:r w:rsidRPr="001448BF">
        <w:rPr>
          <w:rFonts w:asciiTheme="majorBidi" w:hAnsiTheme="majorBidi" w:cstheme="majorBidi"/>
          <w:b/>
          <w:bCs/>
          <w:position w:val="-4"/>
          <w:sz w:val="20"/>
          <w:szCs w:val="20"/>
          <w:lang w:bidi="ar-EG"/>
        </w:rPr>
        <w:t></w:t>
      </w:r>
      <w:r w:rsidRPr="001448BF">
        <w:rPr>
          <w:rFonts w:asciiTheme="majorBidi" w:hAnsiTheme="majorBidi" w:cstheme="majorBidi"/>
          <w:b/>
          <w:bCs/>
          <w:sz w:val="20"/>
          <w:szCs w:val="20"/>
          <w:rtl/>
          <w:lang w:bidi="ar-EG"/>
        </w:rPr>
        <w:t>:</w:t>
      </w:r>
      <w:r w:rsidRPr="001448BF">
        <w:rPr>
          <w:rFonts w:ascii="Lotus Linotype" w:hAnsi="Lotus Linotype" w:cs="AL-Hotham"/>
          <w:b/>
          <w:bCs/>
          <w:sz w:val="20"/>
          <w:szCs w:val="20"/>
          <w:rtl/>
          <w:lang w:bidi="ar-EG"/>
        </w:rPr>
        <w:t xml:space="preserve"> </w:t>
      </w:r>
      <w:r w:rsidRPr="001448BF">
        <w:rPr>
          <w:rFonts w:ascii="Lotus Linotype" w:hAnsi="Lotus Linotype" w:cs="DecoType Thuluth"/>
          <w:b/>
          <w:bCs/>
          <w:color w:val="008000"/>
          <w:sz w:val="20"/>
          <w:szCs w:val="20"/>
          <w:rtl/>
          <w:lang w:bidi="ar-EG"/>
        </w:rPr>
        <w:t>{</w:t>
      </w:r>
      <w:r w:rsidRPr="001448BF">
        <w:rPr>
          <w:rFonts w:ascii="QCF_P354" w:hAnsi="QCF_P354" w:cs="QCF_P354"/>
          <w:b/>
          <w:bCs/>
          <w:color w:val="008000"/>
          <w:sz w:val="20"/>
          <w:szCs w:val="20"/>
          <w:rtl/>
        </w:rPr>
        <w:t>ﮮ ﮯ ﮰ ﮱ ﯓ</w:t>
      </w:r>
      <w:r w:rsidRPr="001448BF">
        <w:rPr>
          <w:rFonts w:ascii="QCF_P354" w:hAnsi="QCF_P354" w:cs="DecoType Thuluth"/>
          <w:b/>
          <w:bCs/>
          <w:color w:val="008000"/>
          <w:sz w:val="20"/>
          <w:szCs w:val="20"/>
          <w:rtl/>
        </w:rPr>
        <w:t>}</w:t>
      </w:r>
      <w:r w:rsidRPr="001448BF">
        <w:rPr>
          <w:rFonts w:ascii="Lotus Linotype" w:hAnsi="Lotus Linotype" w:cs="AL-Hotham"/>
          <w:b/>
          <w:bCs/>
          <w:sz w:val="20"/>
          <w:szCs w:val="20"/>
          <w:rtl/>
        </w:rPr>
        <w:t xml:space="preserve"> </w:t>
      </w:r>
      <w:r w:rsidRPr="001448BF">
        <w:rPr>
          <w:rFonts w:asciiTheme="majorBidi" w:hAnsiTheme="majorBidi" w:cstheme="majorBidi"/>
          <w:b/>
          <w:bCs/>
          <w:sz w:val="20"/>
          <w:szCs w:val="20"/>
          <w:rtl/>
        </w:rPr>
        <w:t>كان يقول: "مثل نور المؤمن كمشكاة فيها مصباح"؛ فالجواب على ذلك ما يلي:</w:t>
      </w:r>
    </w:p>
    <w:p w:rsidR="001448BF" w:rsidRPr="001448BF" w:rsidRDefault="001448BF" w:rsidP="001448BF">
      <w:pPr>
        <w:pStyle w:val="NormalWeb"/>
        <w:bidi/>
        <w:spacing w:before="0" w:beforeAutospacing="0" w:after="120" w:afterAutospacing="0" w:line="276" w:lineRule="auto"/>
        <w:jc w:val="lowKashida"/>
        <w:rPr>
          <w:rFonts w:asciiTheme="majorBidi" w:hAnsiTheme="majorBidi" w:cstheme="majorBidi"/>
          <w:b/>
          <w:bCs/>
          <w:sz w:val="20"/>
          <w:szCs w:val="20"/>
          <w:rtl/>
        </w:rPr>
      </w:pPr>
      <w:r w:rsidRPr="001448BF">
        <w:rPr>
          <w:rFonts w:asciiTheme="majorBidi" w:hAnsiTheme="majorBidi" w:cstheme="majorBidi"/>
          <w:b/>
          <w:bCs/>
          <w:color w:val="000080"/>
          <w:sz w:val="20"/>
          <w:szCs w:val="20"/>
          <w:rtl/>
          <w:lang w:bidi="ar-EG"/>
        </w:rPr>
        <w:t>أولًا:</w:t>
      </w:r>
      <w:r w:rsidRPr="001448BF">
        <w:rPr>
          <w:rFonts w:asciiTheme="majorBidi" w:hAnsiTheme="majorBidi" w:cstheme="majorBidi"/>
          <w:b/>
          <w:bCs/>
          <w:sz w:val="20"/>
          <w:szCs w:val="20"/>
          <w:rtl/>
          <w:lang w:bidi="ar-EG"/>
        </w:rPr>
        <w:t xml:space="preserve"> لم ينقل أحد من رواة القراءة أن ابن عباس </w:t>
      </w:r>
      <w:r w:rsidRPr="001448BF">
        <w:rPr>
          <w:rFonts w:asciiTheme="majorBidi" w:hAnsiTheme="majorBidi" w:cstheme="majorBidi"/>
          <w:b/>
          <w:bCs/>
          <w:position w:val="-4"/>
          <w:sz w:val="20"/>
          <w:szCs w:val="20"/>
          <w:rtl/>
          <w:lang w:bidi="ar-EG"/>
        </w:rPr>
        <w:t>{</w:t>
      </w:r>
      <w:r w:rsidRPr="001448BF">
        <w:rPr>
          <w:rFonts w:asciiTheme="majorBidi" w:hAnsiTheme="majorBidi" w:cstheme="majorBidi"/>
          <w:b/>
          <w:bCs/>
          <w:sz w:val="20"/>
          <w:szCs w:val="20"/>
          <w:rtl/>
          <w:lang w:bidi="ar-EG"/>
        </w:rPr>
        <w:t xml:space="preserve"> كان يقرأ: "مثل نور المؤمن"، وهذا يدل على عدم صحة هذا النقل عن ابن عباس </w:t>
      </w:r>
      <w:r w:rsidRPr="001448BF">
        <w:rPr>
          <w:rFonts w:asciiTheme="majorBidi" w:hAnsiTheme="majorBidi" w:cstheme="majorBidi"/>
          <w:b/>
          <w:bCs/>
          <w:position w:val="-4"/>
          <w:sz w:val="20"/>
          <w:szCs w:val="20"/>
          <w:rtl/>
          <w:lang w:bidi="ar-EG"/>
        </w:rPr>
        <w:t>{</w:t>
      </w:r>
      <w:r w:rsidRPr="001448BF">
        <w:rPr>
          <w:rFonts w:asciiTheme="majorBidi" w:hAnsiTheme="majorBidi" w:cstheme="majorBidi"/>
          <w:b/>
          <w:bCs/>
          <w:sz w:val="20"/>
          <w:szCs w:val="20"/>
          <w:rtl/>
          <w:lang w:bidi="ar-EG"/>
        </w:rPr>
        <w:t xml:space="preserve"> إذ كيف يقرأ ما يعتقد أنه خطأ، ويترك ما يعتقد أنه صواب، وعليه فإن هذه الرواية غير صحيحة أصلًا.</w:t>
      </w:r>
    </w:p>
    <w:p w:rsidR="001448BF" w:rsidRPr="001448BF" w:rsidRDefault="001448BF" w:rsidP="001448BF">
      <w:pPr>
        <w:pStyle w:val="NormalWeb"/>
        <w:bidi/>
        <w:spacing w:before="0" w:beforeAutospacing="0" w:after="120" w:afterAutospacing="0" w:line="276" w:lineRule="auto"/>
        <w:jc w:val="lowKashida"/>
        <w:rPr>
          <w:rFonts w:asciiTheme="majorBidi" w:hAnsiTheme="majorBidi" w:cstheme="majorBidi"/>
          <w:b/>
          <w:bCs/>
          <w:sz w:val="20"/>
          <w:szCs w:val="20"/>
          <w:rtl/>
        </w:rPr>
      </w:pPr>
      <w:r w:rsidRPr="001448BF">
        <w:rPr>
          <w:rFonts w:asciiTheme="majorBidi" w:hAnsiTheme="majorBidi" w:cstheme="majorBidi"/>
          <w:b/>
          <w:bCs/>
          <w:color w:val="000080"/>
          <w:spacing w:val="-4"/>
          <w:sz w:val="20"/>
          <w:szCs w:val="20"/>
          <w:rtl/>
          <w:lang w:bidi="ar-EG"/>
        </w:rPr>
        <w:t>ثانيًا:</w:t>
      </w:r>
      <w:r w:rsidRPr="001448BF">
        <w:rPr>
          <w:rFonts w:asciiTheme="majorBidi" w:hAnsiTheme="majorBidi" w:cstheme="majorBidi"/>
          <w:b/>
          <w:bCs/>
          <w:spacing w:val="-4"/>
          <w:sz w:val="20"/>
          <w:szCs w:val="20"/>
          <w:rtl/>
          <w:lang w:bidi="ar-EG"/>
        </w:rPr>
        <w:t xml:space="preserve"> لو نسبت هذه القراءة لأبي بن كعب لكان الأمر أهون، فقد ورد أن أبيًّا </w:t>
      </w:r>
      <w:r w:rsidRPr="001448BF">
        <w:rPr>
          <w:rFonts w:asciiTheme="majorBidi" w:hAnsiTheme="majorBidi" w:cstheme="majorBidi"/>
          <w:b/>
          <w:bCs/>
          <w:spacing w:val="-4"/>
          <w:position w:val="-4"/>
          <w:sz w:val="20"/>
          <w:szCs w:val="20"/>
          <w:rtl/>
          <w:lang w:bidi="ar-EG"/>
        </w:rPr>
        <w:t>&gt;</w:t>
      </w:r>
      <w:r w:rsidRPr="001448BF">
        <w:rPr>
          <w:rFonts w:asciiTheme="majorBidi" w:hAnsiTheme="majorBidi" w:cstheme="majorBidi"/>
          <w:b/>
          <w:bCs/>
          <w:sz w:val="20"/>
          <w:szCs w:val="20"/>
          <w:rtl/>
          <w:lang w:bidi="ar-EG"/>
        </w:rPr>
        <w:t xml:space="preserve"> كان يقرأ: "مثل نور المؤمن"، وهذه قراءة شاذة مخالفة لرسم المصاحف، وينبغي أن تحمل على أنه أراد تفسير الضمير في القراءة المتواترة، أو على أنها قراءة منسوخة. </w:t>
      </w:r>
    </w:p>
    <w:p w:rsidR="001448BF" w:rsidRPr="001448BF" w:rsidRDefault="001448BF" w:rsidP="001448BF">
      <w:pPr>
        <w:pStyle w:val="NormalWeb"/>
        <w:bidi/>
        <w:spacing w:before="0" w:beforeAutospacing="0" w:after="120" w:afterAutospacing="0" w:line="276" w:lineRule="auto"/>
        <w:jc w:val="lowKashida"/>
        <w:rPr>
          <w:rFonts w:asciiTheme="majorBidi" w:hAnsiTheme="majorBidi" w:cstheme="majorBidi"/>
          <w:b/>
          <w:bCs/>
          <w:sz w:val="20"/>
          <w:szCs w:val="20"/>
          <w:rtl/>
        </w:rPr>
      </w:pPr>
      <w:r w:rsidRPr="001448BF">
        <w:rPr>
          <w:rFonts w:asciiTheme="majorBidi" w:hAnsiTheme="majorBidi" w:cstheme="majorBidi"/>
          <w:b/>
          <w:bCs/>
          <w:sz w:val="20"/>
          <w:szCs w:val="20"/>
          <w:rtl/>
          <w:lang w:bidi="ar-EG"/>
        </w:rPr>
        <w:t xml:space="preserve">وبذلك نكون قد أجبنا على الآثار التي رويت عن ابن عباس </w:t>
      </w:r>
      <w:r w:rsidRPr="001448BF">
        <w:rPr>
          <w:rFonts w:asciiTheme="majorBidi" w:hAnsiTheme="majorBidi" w:cstheme="majorBidi"/>
          <w:b/>
          <w:bCs/>
          <w:position w:val="-4"/>
          <w:sz w:val="20"/>
          <w:szCs w:val="20"/>
          <w:rtl/>
          <w:lang w:bidi="ar-EG"/>
        </w:rPr>
        <w:t>{</w:t>
      </w:r>
      <w:r w:rsidRPr="001448BF">
        <w:rPr>
          <w:rFonts w:asciiTheme="majorBidi" w:hAnsiTheme="majorBidi" w:cstheme="majorBidi"/>
          <w:b/>
          <w:bCs/>
          <w:sz w:val="20"/>
          <w:szCs w:val="20"/>
          <w:rtl/>
          <w:lang w:bidi="ar-EG"/>
        </w:rPr>
        <w:t xml:space="preserve"> فيما يتعلق بدعوى وقوع الخطأ أثناء نسخ المصاحف العثمانية.</w:t>
      </w:r>
    </w:p>
    <w:p w:rsidR="001448BF" w:rsidRPr="001448BF" w:rsidRDefault="001448BF" w:rsidP="001448BF">
      <w:pPr>
        <w:pStyle w:val="NormalWeb"/>
        <w:bidi/>
        <w:spacing w:before="0" w:beforeAutospacing="0" w:after="120" w:afterAutospacing="0" w:line="276" w:lineRule="auto"/>
        <w:jc w:val="lowKashida"/>
        <w:rPr>
          <w:rFonts w:asciiTheme="majorBidi" w:hAnsiTheme="majorBidi" w:cstheme="majorBidi"/>
          <w:b/>
          <w:bCs/>
          <w:sz w:val="20"/>
          <w:szCs w:val="20"/>
          <w:rtl/>
        </w:rPr>
      </w:pPr>
      <w:r w:rsidRPr="001448BF">
        <w:rPr>
          <w:rFonts w:asciiTheme="majorBidi" w:hAnsiTheme="majorBidi" w:cstheme="majorBidi"/>
          <w:b/>
          <w:bCs/>
          <w:sz w:val="20"/>
          <w:szCs w:val="20"/>
          <w:rtl/>
          <w:lang w:bidi="ar-EG"/>
        </w:rPr>
        <w:t>وبعد هذا العرض يتبين لنا أن دعوى وقوع اللحن أو الخطأ في المصاحف العثمانية هي من أوهى الدعاوى وأضعفها وأسخفها، وقد رد علماء المسلمين على هذه الدعوى وكشفوا تهافتها وضعفها فلله الحمد والمنة.</w:t>
      </w:r>
    </w:p>
    <w:p w:rsidR="001448BF" w:rsidRPr="001448BF" w:rsidRDefault="001448BF" w:rsidP="001448BF">
      <w:pPr>
        <w:pStyle w:val="NormalWeb"/>
        <w:bidi/>
        <w:spacing w:before="0" w:beforeAutospacing="0" w:after="120" w:afterAutospacing="0" w:line="276" w:lineRule="auto"/>
        <w:jc w:val="lowKashida"/>
        <w:rPr>
          <w:rFonts w:asciiTheme="majorBidi" w:hAnsiTheme="majorBidi" w:cstheme="majorBidi"/>
          <w:b/>
          <w:bCs/>
          <w:sz w:val="20"/>
          <w:szCs w:val="20"/>
          <w:rtl/>
        </w:rPr>
      </w:pPr>
      <w:r w:rsidRPr="001448BF">
        <w:rPr>
          <w:rFonts w:asciiTheme="majorBidi" w:hAnsiTheme="majorBidi" w:cstheme="majorBidi"/>
          <w:b/>
          <w:bCs/>
          <w:sz w:val="20"/>
          <w:szCs w:val="20"/>
          <w:rtl/>
          <w:lang w:bidi="ar-EG"/>
        </w:rPr>
        <w:t xml:space="preserve">ويبقى من تتمة الكلام على هذا الموضع أن أبين ملاحظة قد لوحظت على ما يعرضه الطاعنون فيما يتعلق بهذه الدعوى؛ فأقول في هذه الملاحظة: </w:t>
      </w:r>
      <w:r w:rsidRPr="001448BF">
        <w:rPr>
          <w:rFonts w:asciiTheme="majorBidi" w:hAnsiTheme="majorBidi" w:cstheme="majorBidi"/>
          <w:b/>
          <w:bCs/>
          <w:sz w:val="20"/>
          <w:szCs w:val="20"/>
          <w:rtl/>
          <w:lang w:bidi="ar-EG"/>
        </w:rPr>
        <w:lastRenderedPageBreak/>
        <w:t xml:space="preserve">إذا كان الطاعنون يعتمدون بشكل أساسي ورئيس على النقل من كتاب (المصاحف) لابن أبي داود فإنهم ينقلون بدون دقة وبدون أمانة وبدون نزاهة، والدليل على انتفاء الدقة والأمانة والنزاهة عند هؤلاء الطاعنين أن ابن أبي داود عندما بدأ في الكلام على قضية اللحن تحت عنوان "ألحان العرب في المصاحف" ذكر شيئًا في غاية الأهمية حيث قال: والألحان اللغات، هكذا ذكر ابن أبي داود في كتاب (المصاحف) الذي ينقل عنه الطاعنون، قال ابن أبي داود: الألحان اللغات، وهنا لا بد وأن نحلل الكلام، ولا بد وأن نستنبط منه ما يرد على هؤلاء الطاعنين، وما يكشف عدم أمانتهم العلمية، وعدم نزاهتهم فنقول: ذكر ابن أبي داود هذا المعنى أولًا -أي: معنى أن الألحان هي اللغات- ثم شرع في سرد الآثار الواردة في اللحن بعد توجيهه لمعنى اللحن، وأنه يريد باللحن اللغة. </w:t>
      </w:r>
    </w:p>
    <w:p w:rsidR="001448BF" w:rsidRPr="001448BF" w:rsidRDefault="001448BF" w:rsidP="001448BF">
      <w:pPr>
        <w:pStyle w:val="NormalWeb"/>
        <w:bidi/>
        <w:spacing w:before="0" w:beforeAutospacing="0" w:after="120" w:afterAutospacing="0" w:line="276" w:lineRule="auto"/>
        <w:jc w:val="lowKashida"/>
        <w:rPr>
          <w:rFonts w:asciiTheme="majorBidi" w:hAnsiTheme="majorBidi" w:cstheme="majorBidi"/>
          <w:b/>
          <w:bCs/>
          <w:sz w:val="20"/>
          <w:szCs w:val="20"/>
          <w:rtl/>
        </w:rPr>
      </w:pPr>
      <w:r w:rsidRPr="001448BF">
        <w:rPr>
          <w:rFonts w:asciiTheme="majorBidi" w:hAnsiTheme="majorBidi" w:cstheme="majorBidi"/>
          <w:b/>
          <w:bCs/>
          <w:sz w:val="20"/>
          <w:szCs w:val="20"/>
          <w:rtl/>
          <w:lang w:bidi="ar-EG"/>
        </w:rPr>
        <w:t xml:space="preserve">ومما هو معلوم أن اللحن يأتي في اللسان العربي على عدة معانٍ، ومن أبرز هذه المعاني أنه يأتي بمعنى اللغة كما ذكرنا قبل ذلك، فقصر الطاعنين معنى اللحن على أنه هو الخطأ إنما يدل دلالة أكيدة على سوء نيتهم وعلى فساد طويتهم. </w:t>
      </w:r>
    </w:p>
    <w:p w:rsidR="001448BF" w:rsidRPr="001448BF" w:rsidRDefault="001448BF" w:rsidP="001448BF">
      <w:pPr>
        <w:pStyle w:val="NormalWeb"/>
        <w:bidi/>
        <w:spacing w:before="0" w:beforeAutospacing="0" w:after="120" w:afterAutospacing="0" w:line="276" w:lineRule="auto"/>
        <w:jc w:val="lowKashida"/>
        <w:rPr>
          <w:rFonts w:asciiTheme="majorBidi" w:hAnsiTheme="majorBidi" w:cstheme="majorBidi"/>
          <w:b/>
          <w:bCs/>
          <w:sz w:val="20"/>
          <w:szCs w:val="20"/>
          <w:rtl/>
        </w:rPr>
      </w:pPr>
      <w:r w:rsidRPr="001448BF">
        <w:rPr>
          <w:rFonts w:asciiTheme="majorBidi" w:hAnsiTheme="majorBidi" w:cstheme="majorBidi"/>
          <w:b/>
          <w:bCs/>
          <w:sz w:val="20"/>
          <w:szCs w:val="20"/>
          <w:rtl/>
          <w:lang w:bidi="ar-EG"/>
        </w:rPr>
        <w:t xml:space="preserve">وبعد أن أورد ابن أبي داود أثر عبد الأعلى بن عبد الله بن عامر القرشي قال -أي ابن أبي داود-: هذا عندي يعني بلغتها؛ أي أنه يفسر اللحن باللغة، والسؤال الذي يطرح نفسه الآن هو لماذا لم ينقل الطاعنون كلام ابن أبي داود كاملًا في تعليقه على هذه الآثار؟ لماذا لم يثبت الطاعنون التوجيه الذي ذكره ابن أبي داود لمعنى اللحن؟ أتراهم قد أبصروا الآثار فقط ثم عميت عيونهم وأبصارهم عن التوجيه والتعليق الذي ذكره ابن أبي داود. </w:t>
      </w:r>
    </w:p>
    <w:p w:rsidR="001448BF" w:rsidRPr="001448BF" w:rsidRDefault="001448BF" w:rsidP="001448BF">
      <w:pPr>
        <w:pStyle w:val="NormalWeb"/>
        <w:bidi/>
        <w:spacing w:before="0" w:beforeAutospacing="0" w:after="120" w:afterAutospacing="0" w:line="276" w:lineRule="auto"/>
        <w:jc w:val="lowKashida"/>
        <w:rPr>
          <w:rFonts w:asciiTheme="majorBidi" w:hAnsiTheme="majorBidi" w:cstheme="majorBidi"/>
          <w:b/>
          <w:bCs/>
          <w:sz w:val="20"/>
          <w:szCs w:val="20"/>
          <w:rtl/>
        </w:rPr>
      </w:pPr>
      <w:r w:rsidRPr="001448BF">
        <w:rPr>
          <w:rFonts w:asciiTheme="majorBidi" w:hAnsiTheme="majorBidi" w:cstheme="majorBidi"/>
          <w:b/>
          <w:bCs/>
          <w:sz w:val="20"/>
          <w:szCs w:val="20"/>
          <w:rtl/>
          <w:lang w:bidi="ar-EG"/>
        </w:rPr>
        <w:t xml:space="preserve">كل ما سبق يدل دلالة يقينية على خبث النية وسوء الطوية عند الطاعنين حيث إنهم لا ينقلون إلا ما يحلو لهم، وإلا ما يوافق أمزجتهم ويخدم أغراضهم، أما البحث العلمي النزيه فهو بعيد تمام البعد عما يفعله الطاعنون. </w:t>
      </w:r>
    </w:p>
    <w:p w:rsidR="001448BF" w:rsidRPr="001448BF" w:rsidRDefault="001448BF" w:rsidP="001448BF">
      <w:pPr>
        <w:pStyle w:val="NormalWeb"/>
        <w:bidi/>
        <w:spacing w:before="0" w:beforeAutospacing="0" w:after="120" w:afterAutospacing="0" w:line="276" w:lineRule="auto"/>
        <w:jc w:val="lowKashida"/>
        <w:rPr>
          <w:rFonts w:asciiTheme="majorBidi" w:hAnsiTheme="majorBidi" w:cstheme="majorBidi"/>
          <w:b/>
          <w:bCs/>
          <w:sz w:val="20"/>
          <w:szCs w:val="20"/>
          <w:rtl/>
        </w:rPr>
      </w:pPr>
      <w:r w:rsidRPr="001448BF">
        <w:rPr>
          <w:rFonts w:asciiTheme="majorBidi" w:hAnsiTheme="majorBidi" w:cstheme="majorBidi"/>
          <w:b/>
          <w:bCs/>
          <w:sz w:val="20"/>
          <w:szCs w:val="20"/>
          <w:rtl/>
          <w:lang w:bidi="ar-EG"/>
        </w:rPr>
        <w:t>وفي نهاية الكلام على دعوى وقوع اللحن أو الخطأ أثناء كتابة المصاحف العثمانية أرد برد عام على هذه الدعوى وعلى القائلين بها فأقول: لقد نزل القرآن في عصر أرباب الفصاحة وأهل البلاغة أولئك اللذين كانوا يرتجلون القصائد الطويلة من الشعر، وينتقدون الشاعر بمجرد إلقائه لقصيدته، ولم نسمع أحدًا منهم انتقد القرآن في أي وجه من الوجوه، ولم يسجل لنا التاريخ حادثة انبرى فيها أحد فطاحل اللغة لينتقص لفظة وحرفًا أو تشبيهًا جاء في القرآن فهل يظن المبشرون أنهم قد فاقوا العرب الخلص في البلاغة والفصاحة حتى يستدركوا عليهم ما فاتهم من لحن أو خطأ في القرآن؟ لقد فات</w:t>
      </w:r>
      <w:r w:rsidRPr="001448BF">
        <w:rPr>
          <w:rFonts w:ascii="Lotus Linotype" w:hAnsi="Lotus Linotype" w:cs="AL-Hotham"/>
          <w:b/>
          <w:bCs/>
          <w:sz w:val="20"/>
          <w:szCs w:val="20"/>
          <w:rtl/>
          <w:lang w:bidi="ar-EG"/>
        </w:rPr>
        <w:t xml:space="preserve"> </w:t>
      </w:r>
      <w:r w:rsidRPr="001448BF">
        <w:rPr>
          <w:rFonts w:asciiTheme="majorBidi" w:hAnsiTheme="majorBidi" w:cstheme="majorBidi"/>
          <w:b/>
          <w:bCs/>
          <w:sz w:val="20"/>
          <w:szCs w:val="20"/>
          <w:rtl/>
          <w:lang w:bidi="ar-EG"/>
        </w:rPr>
        <w:t xml:space="preserve">هؤلاء الجاهلون بالعربية البعيدون عن لغتها </w:t>
      </w:r>
      <w:r w:rsidRPr="001448BF">
        <w:rPr>
          <w:rFonts w:asciiTheme="majorBidi" w:hAnsiTheme="majorBidi" w:cstheme="majorBidi"/>
          <w:b/>
          <w:bCs/>
          <w:sz w:val="20"/>
          <w:szCs w:val="20"/>
          <w:rtl/>
          <w:lang w:bidi="ar-EG"/>
        </w:rPr>
        <w:lastRenderedPageBreak/>
        <w:t xml:space="preserve">وقوميتها وأصولها وأسسها أن قواعد النحو والبيان إنما هي موضوعة على أساس القرآن الكريم؛ لأنه هو الأصل العربي الذي تواتر عن النبي </w:t>
      </w:r>
      <w:r w:rsidRPr="001448BF">
        <w:rPr>
          <w:rFonts w:asciiTheme="majorBidi" w:hAnsiTheme="majorBidi" w:cstheme="majorBidi"/>
          <w:b/>
          <w:bCs/>
          <w:position w:val="-4"/>
          <w:sz w:val="20"/>
          <w:szCs w:val="20"/>
          <w:lang w:bidi="ar-EG"/>
        </w:rPr>
        <w:t></w:t>
      </w:r>
      <w:r w:rsidRPr="001448BF">
        <w:rPr>
          <w:rFonts w:asciiTheme="majorBidi" w:hAnsiTheme="majorBidi" w:cstheme="majorBidi"/>
          <w:b/>
          <w:bCs/>
          <w:sz w:val="20"/>
          <w:szCs w:val="20"/>
          <w:rtl/>
          <w:lang w:bidi="ar-EG"/>
        </w:rPr>
        <w:t xml:space="preserve"> وتحدى به أفصح العرب منطقًا وأبلغهم قولًا؛ فعجزوا عن الإتيان بمثله، فكل ما يخالفه من العبارات يكون غير عربي بدون نزاع، فهل يظن هؤلاء الغارقون في الجهالة أن قواعد سيبويه والخليل أصل يطبق على القرآن فيقال لما خالف هذه القواعد: إنه لحن، إن كانوا يقولون ذلك فقد بلغ بهم الجهل غايته؛ لأن الواقع أن قواعد الخليل وسيبويه وغيرهما إنما تكون صحيحة إذا وافقت القرآن الكريم، أما إذا خالفته في شيء فإنها تكون غلطًا بدون نزاع. </w:t>
      </w:r>
    </w:p>
    <w:p w:rsidR="001448BF" w:rsidRPr="001448BF" w:rsidRDefault="001448BF" w:rsidP="001448BF">
      <w:pPr>
        <w:pStyle w:val="NormalWeb"/>
        <w:bidi/>
        <w:spacing w:before="0" w:beforeAutospacing="0" w:after="120" w:afterAutospacing="0" w:line="276" w:lineRule="auto"/>
        <w:jc w:val="lowKashida"/>
        <w:rPr>
          <w:rFonts w:asciiTheme="majorBidi" w:hAnsiTheme="majorBidi" w:cstheme="majorBidi"/>
          <w:b/>
          <w:bCs/>
          <w:spacing w:val="2"/>
          <w:sz w:val="20"/>
          <w:szCs w:val="20"/>
          <w:rtl/>
        </w:rPr>
      </w:pPr>
      <w:r w:rsidRPr="001448BF">
        <w:rPr>
          <w:rFonts w:asciiTheme="majorBidi" w:hAnsiTheme="majorBidi" w:cstheme="majorBidi"/>
          <w:b/>
          <w:bCs/>
          <w:spacing w:val="2"/>
          <w:sz w:val="20"/>
          <w:szCs w:val="20"/>
          <w:rtl/>
          <w:lang w:bidi="ar-EG"/>
        </w:rPr>
        <w:t>مما سبق يتبن أن هذه الدعوى من أسخف الدعاوى الموجهة إلى القرآن؛ فهؤلاء المبشرون الذين ظهروا بعد نزول القرآن بأربعة عشر قرنًا يريدون أن يخبرونا أن القرآن فيه أخطاء لغوية أو نحوية مع أنه عرض على فصحاء العرب وعلماء اللغة، ولم ينقم عليه أحد منهم شيئًا في لغة القرآن؛ فإذا بهؤلاء بعد هذه الأزمنة المتطاولة والإجماع القطعي يخرجون لنا بهذه البائقة التي أضحكت عليهم المجانين فتراهم يريدون أن يعلمونا لغتنا، وهم لا يفقهون منها شيئًا، ولا يستحسنون صياغة مقال واحد، وإنه ليصح لنا في هذا المقام أن نتمثل قول الشاعر:</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05"/>
        <w:gridCol w:w="566"/>
        <w:gridCol w:w="2123"/>
      </w:tblGrid>
      <w:tr w:rsidR="001448BF" w:rsidRPr="001448BF" w:rsidTr="009F008E">
        <w:trPr>
          <w:trHeight w:hRule="exact" w:val="510"/>
          <w:jc w:val="center"/>
        </w:trPr>
        <w:tc>
          <w:tcPr>
            <w:tcW w:w="2909" w:type="dxa"/>
            <w:shd w:val="clear" w:color="auto" w:fill="auto"/>
            <w:vAlign w:val="center"/>
          </w:tcPr>
          <w:p w:rsidR="001448BF" w:rsidRPr="001448BF" w:rsidRDefault="001448BF" w:rsidP="001448BF">
            <w:pPr>
              <w:spacing w:after="120" w:line="276" w:lineRule="auto"/>
              <w:jc w:val="both"/>
              <w:rPr>
                <w:rFonts w:asciiTheme="majorBidi" w:hAnsiTheme="majorBidi" w:cstheme="majorBidi"/>
                <w:b/>
                <w:bCs/>
                <w:rtl/>
              </w:rPr>
            </w:pPr>
            <w:r w:rsidRPr="001448BF">
              <w:rPr>
                <w:rFonts w:asciiTheme="majorBidi" w:hAnsiTheme="majorBidi" w:cstheme="majorBidi"/>
                <w:b/>
                <w:bCs/>
                <w:rtl/>
              </w:rPr>
              <w:t>إذا وصف الطائي بالبخل مادرٌ</w:t>
            </w:r>
            <w:r w:rsidRPr="001448BF">
              <w:rPr>
                <w:rFonts w:asciiTheme="majorBidi" w:hAnsiTheme="majorBidi" w:cstheme="majorBidi"/>
                <w:b/>
                <w:bCs/>
                <w:rtl/>
              </w:rPr>
              <w:br/>
            </w:r>
          </w:p>
        </w:tc>
        <w:tc>
          <w:tcPr>
            <w:tcW w:w="709" w:type="dxa"/>
            <w:shd w:val="clear" w:color="auto" w:fill="auto"/>
            <w:vAlign w:val="center"/>
          </w:tcPr>
          <w:p w:rsidR="001448BF" w:rsidRPr="001448BF" w:rsidRDefault="001448BF" w:rsidP="001448BF">
            <w:pPr>
              <w:spacing w:after="120" w:line="276" w:lineRule="auto"/>
              <w:jc w:val="center"/>
              <w:rPr>
                <w:rFonts w:asciiTheme="majorBidi" w:hAnsiTheme="majorBidi" w:cstheme="majorBidi"/>
                <w:b/>
                <w:bCs/>
                <w:rtl/>
              </w:rPr>
            </w:pPr>
            <w:r w:rsidRPr="001448BF">
              <w:rPr>
                <w:rFonts w:asciiTheme="majorBidi" w:hAnsiTheme="majorBidi" w:cstheme="majorBidi"/>
                <w:b/>
                <w:bCs/>
                <w:rtl/>
              </w:rPr>
              <w:t>*</w:t>
            </w:r>
          </w:p>
        </w:tc>
        <w:tc>
          <w:tcPr>
            <w:tcW w:w="2909" w:type="dxa"/>
            <w:shd w:val="clear" w:color="auto" w:fill="auto"/>
            <w:vAlign w:val="center"/>
          </w:tcPr>
          <w:p w:rsidR="001448BF" w:rsidRPr="001448BF" w:rsidRDefault="001448BF" w:rsidP="001448BF">
            <w:pPr>
              <w:spacing w:after="120" w:line="276" w:lineRule="auto"/>
              <w:jc w:val="both"/>
              <w:rPr>
                <w:rFonts w:asciiTheme="majorBidi" w:hAnsiTheme="majorBidi" w:cstheme="majorBidi"/>
                <w:b/>
                <w:bCs/>
                <w:rtl/>
              </w:rPr>
            </w:pPr>
            <w:r w:rsidRPr="001448BF">
              <w:rPr>
                <w:rFonts w:asciiTheme="majorBidi" w:hAnsiTheme="majorBidi" w:cstheme="majorBidi"/>
                <w:b/>
                <w:bCs/>
                <w:rtl/>
              </w:rPr>
              <w:t>وعير قسًا بالفهاهة باقلُ</w:t>
            </w:r>
            <w:r w:rsidRPr="001448BF">
              <w:rPr>
                <w:rFonts w:asciiTheme="majorBidi" w:hAnsiTheme="majorBidi" w:cstheme="majorBidi"/>
                <w:b/>
                <w:bCs/>
                <w:rtl/>
              </w:rPr>
              <w:br/>
            </w:r>
          </w:p>
        </w:tc>
      </w:tr>
      <w:tr w:rsidR="001448BF" w:rsidRPr="001448BF" w:rsidTr="009F008E">
        <w:trPr>
          <w:trHeight w:hRule="exact" w:val="510"/>
          <w:jc w:val="center"/>
        </w:trPr>
        <w:tc>
          <w:tcPr>
            <w:tcW w:w="2909" w:type="dxa"/>
            <w:shd w:val="clear" w:color="auto" w:fill="auto"/>
            <w:vAlign w:val="center"/>
          </w:tcPr>
          <w:p w:rsidR="001448BF" w:rsidRPr="001448BF" w:rsidRDefault="001448BF" w:rsidP="001448BF">
            <w:pPr>
              <w:spacing w:after="120" w:line="276" w:lineRule="auto"/>
              <w:jc w:val="both"/>
              <w:rPr>
                <w:rFonts w:asciiTheme="majorBidi" w:hAnsiTheme="majorBidi" w:cstheme="majorBidi"/>
                <w:b/>
                <w:bCs/>
                <w:rtl/>
              </w:rPr>
            </w:pPr>
            <w:r w:rsidRPr="001448BF">
              <w:rPr>
                <w:rFonts w:asciiTheme="majorBidi" w:hAnsiTheme="majorBidi" w:cstheme="majorBidi"/>
                <w:b/>
                <w:bCs/>
                <w:rtl/>
              </w:rPr>
              <w:t>وقال السُّهى للشمس أنت خفيةٌ</w:t>
            </w:r>
            <w:r w:rsidRPr="001448BF">
              <w:rPr>
                <w:rFonts w:asciiTheme="majorBidi" w:hAnsiTheme="majorBidi" w:cstheme="majorBidi"/>
                <w:b/>
                <w:bCs/>
                <w:rtl/>
              </w:rPr>
              <w:br/>
            </w:r>
          </w:p>
        </w:tc>
        <w:tc>
          <w:tcPr>
            <w:tcW w:w="709" w:type="dxa"/>
            <w:shd w:val="clear" w:color="auto" w:fill="auto"/>
            <w:vAlign w:val="center"/>
          </w:tcPr>
          <w:p w:rsidR="001448BF" w:rsidRPr="001448BF" w:rsidRDefault="001448BF" w:rsidP="001448BF">
            <w:pPr>
              <w:spacing w:after="120" w:line="276" w:lineRule="auto"/>
              <w:jc w:val="center"/>
              <w:rPr>
                <w:rFonts w:asciiTheme="majorBidi" w:hAnsiTheme="majorBidi" w:cstheme="majorBidi"/>
                <w:b/>
                <w:bCs/>
                <w:rtl/>
              </w:rPr>
            </w:pPr>
            <w:r w:rsidRPr="001448BF">
              <w:rPr>
                <w:rFonts w:asciiTheme="majorBidi" w:hAnsiTheme="majorBidi" w:cstheme="majorBidi"/>
                <w:b/>
                <w:bCs/>
                <w:rtl/>
              </w:rPr>
              <w:t>*</w:t>
            </w:r>
          </w:p>
        </w:tc>
        <w:tc>
          <w:tcPr>
            <w:tcW w:w="2909" w:type="dxa"/>
            <w:shd w:val="clear" w:color="auto" w:fill="auto"/>
            <w:vAlign w:val="center"/>
          </w:tcPr>
          <w:p w:rsidR="001448BF" w:rsidRPr="001448BF" w:rsidRDefault="001448BF" w:rsidP="001448BF">
            <w:pPr>
              <w:spacing w:after="120" w:line="276" w:lineRule="auto"/>
              <w:jc w:val="both"/>
              <w:rPr>
                <w:rFonts w:asciiTheme="majorBidi" w:hAnsiTheme="majorBidi" w:cstheme="majorBidi"/>
                <w:b/>
                <w:bCs/>
                <w:rtl/>
              </w:rPr>
            </w:pPr>
            <w:r w:rsidRPr="001448BF">
              <w:rPr>
                <w:rFonts w:asciiTheme="majorBidi" w:hAnsiTheme="majorBidi" w:cstheme="majorBidi"/>
                <w:b/>
                <w:bCs/>
                <w:rtl/>
              </w:rPr>
              <w:t>وقال الدجى للصبح لونك حائل</w:t>
            </w:r>
            <w:r w:rsidRPr="001448BF">
              <w:rPr>
                <w:rFonts w:asciiTheme="majorBidi" w:hAnsiTheme="majorBidi" w:cstheme="majorBidi"/>
                <w:b/>
                <w:bCs/>
                <w:rtl/>
              </w:rPr>
              <w:br/>
            </w:r>
          </w:p>
        </w:tc>
      </w:tr>
      <w:tr w:rsidR="001448BF" w:rsidRPr="001448BF" w:rsidTr="009F008E">
        <w:trPr>
          <w:trHeight w:hRule="exact" w:val="510"/>
          <w:jc w:val="center"/>
        </w:trPr>
        <w:tc>
          <w:tcPr>
            <w:tcW w:w="2909" w:type="dxa"/>
            <w:shd w:val="clear" w:color="auto" w:fill="auto"/>
            <w:vAlign w:val="center"/>
          </w:tcPr>
          <w:p w:rsidR="001448BF" w:rsidRPr="001448BF" w:rsidRDefault="001448BF" w:rsidP="001448BF">
            <w:pPr>
              <w:spacing w:after="120" w:line="276" w:lineRule="auto"/>
              <w:jc w:val="both"/>
              <w:rPr>
                <w:rFonts w:asciiTheme="majorBidi" w:hAnsiTheme="majorBidi" w:cstheme="majorBidi"/>
                <w:b/>
                <w:bCs/>
                <w:rtl/>
              </w:rPr>
            </w:pPr>
            <w:r w:rsidRPr="001448BF">
              <w:rPr>
                <w:rFonts w:asciiTheme="majorBidi" w:hAnsiTheme="majorBidi" w:cstheme="majorBidi"/>
                <w:b/>
                <w:bCs/>
                <w:rtl/>
              </w:rPr>
              <w:t>فيا موت زر إن الحياة ذميمةٌ</w:t>
            </w:r>
            <w:r w:rsidRPr="001448BF">
              <w:rPr>
                <w:rFonts w:asciiTheme="majorBidi" w:hAnsiTheme="majorBidi" w:cstheme="majorBidi"/>
                <w:b/>
                <w:bCs/>
                <w:rtl/>
              </w:rPr>
              <w:br/>
            </w:r>
          </w:p>
        </w:tc>
        <w:tc>
          <w:tcPr>
            <w:tcW w:w="709" w:type="dxa"/>
            <w:shd w:val="clear" w:color="auto" w:fill="auto"/>
            <w:vAlign w:val="center"/>
          </w:tcPr>
          <w:p w:rsidR="001448BF" w:rsidRPr="001448BF" w:rsidRDefault="001448BF" w:rsidP="001448BF">
            <w:pPr>
              <w:spacing w:after="120" w:line="276" w:lineRule="auto"/>
              <w:jc w:val="center"/>
              <w:rPr>
                <w:rFonts w:asciiTheme="majorBidi" w:hAnsiTheme="majorBidi" w:cstheme="majorBidi"/>
                <w:b/>
                <w:bCs/>
                <w:rtl/>
              </w:rPr>
            </w:pPr>
            <w:r w:rsidRPr="001448BF">
              <w:rPr>
                <w:rFonts w:asciiTheme="majorBidi" w:hAnsiTheme="majorBidi" w:cstheme="majorBidi"/>
                <w:b/>
                <w:bCs/>
                <w:rtl/>
              </w:rPr>
              <w:t>*</w:t>
            </w:r>
          </w:p>
        </w:tc>
        <w:tc>
          <w:tcPr>
            <w:tcW w:w="2909" w:type="dxa"/>
            <w:shd w:val="clear" w:color="auto" w:fill="auto"/>
            <w:vAlign w:val="center"/>
          </w:tcPr>
          <w:p w:rsidR="001448BF" w:rsidRPr="001448BF" w:rsidRDefault="001448BF" w:rsidP="001448BF">
            <w:pPr>
              <w:spacing w:after="120" w:line="276" w:lineRule="auto"/>
              <w:jc w:val="both"/>
              <w:rPr>
                <w:rFonts w:asciiTheme="majorBidi" w:hAnsiTheme="majorBidi" w:cstheme="majorBidi"/>
                <w:b/>
                <w:bCs/>
                <w:rtl/>
              </w:rPr>
            </w:pPr>
            <w:r w:rsidRPr="001448BF">
              <w:rPr>
                <w:rFonts w:asciiTheme="majorBidi" w:hAnsiTheme="majorBidi" w:cstheme="majorBidi"/>
                <w:b/>
                <w:bCs/>
                <w:rtl/>
              </w:rPr>
              <w:t>ويا نفس جدّي إن دهرك هازل</w:t>
            </w:r>
            <w:r w:rsidRPr="001448BF">
              <w:rPr>
                <w:rFonts w:asciiTheme="majorBidi" w:hAnsiTheme="majorBidi" w:cstheme="majorBidi"/>
                <w:b/>
                <w:bCs/>
                <w:rtl/>
              </w:rPr>
              <w:br/>
            </w:r>
          </w:p>
        </w:tc>
      </w:tr>
    </w:tbl>
    <w:p w:rsidR="001448BF" w:rsidRPr="001448BF" w:rsidRDefault="001448BF" w:rsidP="001448BF">
      <w:pPr>
        <w:spacing w:after="120"/>
        <w:jc w:val="center"/>
        <w:rPr>
          <w:rFonts w:asciiTheme="majorBidi" w:hAnsiTheme="majorBidi" w:cstheme="majorBidi"/>
          <w:b/>
          <w:bCs/>
          <w:sz w:val="20"/>
          <w:szCs w:val="20"/>
          <w:rtl/>
        </w:rPr>
      </w:pPr>
      <w:r w:rsidRPr="001448BF">
        <w:rPr>
          <w:rFonts w:asciiTheme="majorBidi" w:hAnsiTheme="majorBidi" w:cstheme="majorBidi"/>
          <w:b/>
          <w:bCs/>
          <w:sz w:val="20"/>
          <w:szCs w:val="20"/>
          <w:rtl/>
        </w:rPr>
        <w:t>المصادر والمراجع</w:t>
      </w:r>
    </w:p>
    <w:p w:rsidR="001448BF" w:rsidRPr="001448BF" w:rsidRDefault="001448BF" w:rsidP="001448BF">
      <w:pPr>
        <w:numPr>
          <w:ilvl w:val="0"/>
          <w:numId w:val="2"/>
        </w:numPr>
        <w:spacing w:after="120"/>
        <w:jc w:val="lowKashida"/>
        <w:rPr>
          <w:rFonts w:asciiTheme="majorBidi" w:hAnsiTheme="majorBidi" w:cstheme="majorBidi"/>
          <w:b/>
          <w:bCs/>
          <w:sz w:val="20"/>
          <w:szCs w:val="20"/>
          <w:rtl/>
        </w:rPr>
      </w:pPr>
      <w:r w:rsidRPr="001448BF">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1448BF" w:rsidRPr="001448BF" w:rsidRDefault="001448BF" w:rsidP="001448BF">
      <w:pPr>
        <w:numPr>
          <w:ilvl w:val="0"/>
          <w:numId w:val="2"/>
        </w:numPr>
        <w:spacing w:after="120"/>
        <w:jc w:val="lowKashida"/>
        <w:rPr>
          <w:rFonts w:asciiTheme="majorBidi" w:hAnsiTheme="majorBidi" w:cstheme="majorBidi"/>
          <w:b/>
          <w:bCs/>
          <w:sz w:val="20"/>
          <w:szCs w:val="20"/>
          <w:rtl/>
        </w:rPr>
      </w:pPr>
      <w:r w:rsidRPr="001448BF">
        <w:rPr>
          <w:rFonts w:asciiTheme="majorBidi" w:hAnsiTheme="majorBidi" w:cstheme="majorBidi"/>
          <w:b/>
          <w:bCs/>
          <w:sz w:val="20"/>
          <w:szCs w:val="20"/>
          <w:rtl/>
        </w:rPr>
        <w:lastRenderedPageBreak/>
        <w:t>الزركشي، بدر الدين الزركشي، تحقيق: محمد أبو الفضل إبراهيم،  (البرهان في علوم القرآن) ، بيروت، نشر دار المعرفة، 2001م</w:t>
      </w:r>
    </w:p>
    <w:p w:rsidR="001448BF" w:rsidRPr="001448BF" w:rsidRDefault="001448BF" w:rsidP="001448BF">
      <w:pPr>
        <w:numPr>
          <w:ilvl w:val="0"/>
          <w:numId w:val="2"/>
        </w:numPr>
        <w:spacing w:after="120"/>
        <w:jc w:val="lowKashida"/>
        <w:rPr>
          <w:rFonts w:asciiTheme="majorBidi" w:hAnsiTheme="majorBidi" w:cstheme="majorBidi"/>
          <w:b/>
          <w:bCs/>
          <w:sz w:val="20"/>
          <w:szCs w:val="20"/>
        </w:rPr>
      </w:pPr>
      <w:r w:rsidRPr="001448BF">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1448BF" w:rsidRPr="001448BF" w:rsidRDefault="001448BF" w:rsidP="001448BF">
      <w:pPr>
        <w:numPr>
          <w:ilvl w:val="0"/>
          <w:numId w:val="2"/>
        </w:numPr>
        <w:spacing w:after="120"/>
        <w:jc w:val="lowKashida"/>
        <w:rPr>
          <w:rFonts w:asciiTheme="majorBidi" w:hAnsiTheme="majorBidi" w:cstheme="majorBidi"/>
          <w:b/>
          <w:bCs/>
          <w:sz w:val="20"/>
          <w:szCs w:val="20"/>
        </w:rPr>
      </w:pPr>
      <w:r w:rsidRPr="001448BF">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1448BF" w:rsidRPr="001448BF" w:rsidRDefault="001448BF" w:rsidP="001448BF">
      <w:pPr>
        <w:numPr>
          <w:ilvl w:val="0"/>
          <w:numId w:val="2"/>
        </w:numPr>
        <w:spacing w:after="120"/>
        <w:jc w:val="lowKashida"/>
        <w:rPr>
          <w:rFonts w:asciiTheme="majorBidi" w:hAnsiTheme="majorBidi" w:cstheme="majorBidi"/>
          <w:b/>
          <w:bCs/>
          <w:sz w:val="20"/>
          <w:szCs w:val="20"/>
          <w:rtl/>
        </w:rPr>
      </w:pPr>
      <w:r w:rsidRPr="001448BF">
        <w:rPr>
          <w:rFonts w:asciiTheme="majorBidi" w:hAnsiTheme="majorBidi" w:cstheme="majorBidi"/>
          <w:b/>
          <w:bCs/>
          <w:sz w:val="20"/>
          <w:szCs w:val="20"/>
          <w:rtl/>
        </w:rPr>
        <w:t>أبي داود، ابن أبي داود، تحقيق: محب الدين واعظ، (المصاحف) ، دار البشائر الإسلامية، 2002م</w:t>
      </w:r>
    </w:p>
    <w:p w:rsidR="001448BF" w:rsidRPr="001448BF" w:rsidRDefault="001448BF" w:rsidP="001448BF">
      <w:pPr>
        <w:numPr>
          <w:ilvl w:val="0"/>
          <w:numId w:val="2"/>
        </w:numPr>
        <w:spacing w:after="120"/>
        <w:jc w:val="lowKashida"/>
        <w:rPr>
          <w:rFonts w:asciiTheme="majorBidi" w:hAnsiTheme="majorBidi" w:cstheme="majorBidi"/>
          <w:b/>
          <w:bCs/>
          <w:sz w:val="20"/>
          <w:szCs w:val="20"/>
        </w:rPr>
      </w:pPr>
      <w:r w:rsidRPr="001448BF">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1448BF" w:rsidRPr="001448BF" w:rsidRDefault="001448BF" w:rsidP="001448BF">
      <w:pPr>
        <w:numPr>
          <w:ilvl w:val="0"/>
          <w:numId w:val="2"/>
        </w:numPr>
        <w:spacing w:after="120"/>
        <w:jc w:val="lowKashida"/>
        <w:rPr>
          <w:rFonts w:asciiTheme="majorBidi" w:hAnsiTheme="majorBidi" w:cstheme="majorBidi"/>
          <w:b/>
          <w:bCs/>
          <w:sz w:val="20"/>
          <w:szCs w:val="20"/>
          <w:rtl/>
        </w:rPr>
      </w:pPr>
      <w:r w:rsidRPr="001448BF">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1448BF" w:rsidRPr="001448BF" w:rsidRDefault="001448BF" w:rsidP="001448BF">
      <w:pPr>
        <w:numPr>
          <w:ilvl w:val="0"/>
          <w:numId w:val="2"/>
        </w:numPr>
        <w:spacing w:after="120"/>
        <w:jc w:val="lowKashida"/>
        <w:rPr>
          <w:rFonts w:asciiTheme="majorBidi" w:hAnsiTheme="majorBidi" w:cstheme="majorBidi"/>
          <w:b/>
          <w:bCs/>
          <w:sz w:val="20"/>
          <w:szCs w:val="20"/>
          <w:rtl/>
        </w:rPr>
      </w:pPr>
      <w:r w:rsidRPr="001448BF">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1448BF" w:rsidRPr="001448BF" w:rsidRDefault="001448BF" w:rsidP="001448BF">
      <w:pPr>
        <w:numPr>
          <w:ilvl w:val="0"/>
          <w:numId w:val="2"/>
        </w:numPr>
        <w:spacing w:after="120"/>
        <w:jc w:val="lowKashida"/>
        <w:rPr>
          <w:rFonts w:asciiTheme="majorBidi" w:hAnsiTheme="majorBidi" w:cstheme="majorBidi"/>
          <w:b/>
          <w:bCs/>
          <w:sz w:val="20"/>
          <w:szCs w:val="20"/>
        </w:rPr>
      </w:pPr>
      <w:r w:rsidRPr="001448BF">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1448BF" w:rsidRPr="001448BF" w:rsidRDefault="001448BF" w:rsidP="001448BF">
      <w:pPr>
        <w:numPr>
          <w:ilvl w:val="0"/>
          <w:numId w:val="2"/>
        </w:numPr>
        <w:spacing w:after="120"/>
        <w:jc w:val="lowKashida"/>
        <w:rPr>
          <w:rFonts w:asciiTheme="majorBidi" w:hAnsiTheme="majorBidi" w:cstheme="majorBidi"/>
          <w:b/>
          <w:bCs/>
          <w:sz w:val="20"/>
          <w:szCs w:val="20"/>
        </w:rPr>
      </w:pPr>
      <w:r w:rsidRPr="001448BF">
        <w:rPr>
          <w:rFonts w:asciiTheme="majorBidi" w:hAnsiTheme="majorBidi" w:cstheme="majorBidi"/>
          <w:b/>
          <w:bCs/>
          <w:sz w:val="20"/>
          <w:szCs w:val="20"/>
          <w:rtl/>
        </w:rPr>
        <w:t>أبو زهرة، محمد أبو زهرة، (المعجزة الكبرى القرآن)  ، دار طيب للنشر، 2003م</w:t>
      </w:r>
    </w:p>
    <w:p w:rsidR="001448BF" w:rsidRPr="001448BF" w:rsidRDefault="001448BF" w:rsidP="001448BF">
      <w:pPr>
        <w:numPr>
          <w:ilvl w:val="0"/>
          <w:numId w:val="2"/>
        </w:numPr>
        <w:spacing w:after="120"/>
        <w:jc w:val="lowKashida"/>
        <w:rPr>
          <w:rFonts w:asciiTheme="majorBidi" w:hAnsiTheme="majorBidi" w:cstheme="majorBidi"/>
          <w:b/>
          <w:bCs/>
          <w:sz w:val="20"/>
          <w:szCs w:val="20"/>
        </w:rPr>
      </w:pPr>
      <w:r w:rsidRPr="001448BF">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1448BF" w:rsidRPr="001448BF" w:rsidRDefault="001448BF" w:rsidP="001448BF">
      <w:pPr>
        <w:numPr>
          <w:ilvl w:val="0"/>
          <w:numId w:val="2"/>
        </w:numPr>
        <w:spacing w:after="120"/>
        <w:jc w:val="lowKashida"/>
        <w:rPr>
          <w:rFonts w:asciiTheme="majorBidi" w:hAnsiTheme="majorBidi" w:cstheme="majorBidi"/>
          <w:b/>
          <w:bCs/>
          <w:sz w:val="20"/>
          <w:szCs w:val="20"/>
        </w:rPr>
      </w:pPr>
      <w:r w:rsidRPr="001448BF">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1448BF" w:rsidRDefault="001448BF">
      <w:pPr>
        <w:rPr>
          <w:rtl/>
        </w:rPr>
        <w:sectPr w:rsidR="001448BF" w:rsidSect="001448BF">
          <w:type w:val="continuous"/>
          <w:pgSz w:w="11906" w:h="16838"/>
          <w:pgMar w:top="964" w:right="1021" w:bottom="964" w:left="1021" w:header="709" w:footer="709" w:gutter="0"/>
          <w:cols w:num="2" w:space="708"/>
          <w:bidi/>
          <w:rtlGutter/>
          <w:docGrid w:linePitch="360"/>
        </w:sectPr>
      </w:pPr>
    </w:p>
    <w:p w:rsidR="009556CB" w:rsidRPr="001448BF" w:rsidRDefault="009556CB" w:rsidP="001448BF">
      <w:pPr>
        <w:jc w:val="center"/>
      </w:pPr>
    </w:p>
    <w:sectPr w:rsidR="009556CB" w:rsidRPr="001448BF" w:rsidSect="001448BF">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354">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FA9CFD0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1448BF"/>
    <w:rsid w:val="001448BF"/>
    <w:rsid w:val="0039305A"/>
    <w:rsid w:val="00514443"/>
    <w:rsid w:val="005A6EBB"/>
    <w:rsid w:val="009556CB"/>
    <w:rsid w:val="00BF7572"/>
    <w:rsid w:val="00EC3D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8B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1448BF"/>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1448B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48BF"/>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1448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2013-06-23T07:57:00Z</dcterms:created>
  <dcterms:modified xsi:type="dcterms:W3CDTF">2013-06-26T21:50:00Z</dcterms:modified>
</cp:coreProperties>
</file>