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C22FA" w:rsidP="006C22FA">
      <w:pPr>
        <w:spacing w:line="240" w:lineRule="auto"/>
        <w:jc w:val="center"/>
        <w:rPr>
          <w:i/>
          <w:iCs/>
          <w:rtl/>
        </w:rPr>
      </w:pPr>
      <w:r w:rsidRPr="006C22FA">
        <w:rPr>
          <w:rFonts w:asciiTheme="majorBidi" w:eastAsia="Calibri" w:hAnsiTheme="majorBidi" w:cstheme="majorBidi"/>
          <w:i/>
          <w:iCs/>
          <w:sz w:val="48"/>
          <w:szCs w:val="48"/>
          <w:rtl/>
        </w:rPr>
        <w:t>أبرز قواعد الرد على المطاعن</w:t>
      </w:r>
    </w:p>
    <w:p w:rsidR="00844980" w:rsidRPr="00634035" w:rsidRDefault="00844980" w:rsidP="00844980">
      <w:pPr>
        <w:pStyle w:val="papersubtitle"/>
        <w:bidi/>
        <w:rPr>
          <w:i/>
          <w:iCs/>
          <w:rtl/>
        </w:rPr>
      </w:pPr>
      <w:r w:rsidRPr="00634035">
        <w:rPr>
          <w:i/>
          <w:iCs/>
          <w:rtl/>
        </w:rPr>
        <w:t xml:space="preserve">بحث  فى </w:t>
      </w:r>
      <w:r w:rsidRPr="00634035">
        <w:rPr>
          <w:rFonts w:hint="cs"/>
          <w:i/>
          <w:iCs/>
          <w:rtl/>
        </w:rPr>
        <w:t>دفاع عن القراَن</w:t>
      </w:r>
    </w:p>
    <w:p w:rsidR="00844980" w:rsidRPr="009264EA" w:rsidRDefault="00844980" w:rsidP="00844980">
      <w:pPr>
        <w:pStyle w:val="papersubtitle"/>
        <w:bidi/>
        <w:rPr>
          <w:i/>
          <w:iCs/>
          <w:sz w:val="24"/>
          <w:szCs w:val="24"/>
        </w:rPr>
      </w:pPr>
      <w:r w:rsidRPr="009264EA">
        <w:rPr>
          <w:i/>
          <w:iCs/>
          <w:sz w:val="24"/>
          <w:szCs w:val="24"/>
          <w:rtl/>
        </w:rPr>
        <w:t>إعداد</w:t>
      </w:r>
      <w:r>
        <w:rPr>
          <w:rFonts w:hint="cs"/>
          <w:i/>
          <w:iCs/>
          <w:sz w:val="24"/>
          <w:szCs w:val="24"/>
          <w:rtl/>
        </w:rPr>
        <w:t xml:space="preserve"> أ</w:t>
      </w:r>
      <w:r w:rsidRPr="009264EA">
        <w:rPr>
          <w:i/>
          <w:iCs/>
          <w:sz w:val="24"/>
          <w:szCs w:val="24"/>
          <w:rtl/>
        </w:rPr>
        <w:t xml:space="preserve">/ </w:t>
      </w:r>
      <w:r w:rsidRPr="00BB5FA1">
        <w:rPr>
          <w:rFonts w:hint="cs"/>
          <w:i/>
          <w:iCs/>
          <w:sz w:val="24"/>
          <w:szCs w:val="24"/>
          <w:rtl/>
        </w:rPr>
        <w:t>أيمن</w:t>
      </w:r>
      <w:r w:rsidRPr="00BB5FA1">
        <w:rPr>
          <w:i/>
          <w:iCs/>
          <w:sz w:val="24"/>
          <w:szCs w:val="24"/>
          <w:rtl/>
        </w:rPr>
        <w:t xml:space="preserve"> </w:t>
      </w:r>
      <w:r w:rsidRPr="00BB5FA1">
        <w:rPr>
          <w:rFonts w:hint="cs"/>
          <w:i/>
          <w:iCs/>
          <w:sz w:val="24"/>
          <w:szCs w:val="24"/>
          <w:rtl/>
        </w:rPr>
        <w:t>محمد</w:t>
      </w:r>
      <w:r w:rsidRPr="00BB5FA1">
        <w:rPr>
          <w:i/>
          <w:iCs/>
          <w:sz w:val="24"/>
          <w:szCs w:val="24"/>
          <w:rtl/>
        </w:rPr>
        <w:t xml:space="preserve"> </w:t>
      </w:r>
      <w:r w:rsidRPr="00BB5FA1">
        <w:rPr>
          <w:rFonts w:hint="cs"/>
          <w:i/>
          <w:iCs/>
          <w:sz w:val="24"/>
          <w:szCs w:val="24"/>
          <w:rtl/>
        </w:rPr>
        <w:t>أبوبكر</w:t>
      </w:r>
    </w:p>
    <w:p w:rsidR="00844980" w:rsidRPr="009264EA" w:rsidRDefault="00844980" w:rsidP="00844980">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844980" w:rsidRPr="009264EA" w:rsidRDefault="00844980" w:rsidP="00844980">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844980" w:rsidRPr="009264EA" w:rsidRDefault="00844980" w:rsidP="00844980">
      <w:pPr>
        <w:pStyle w:val="papersubtitle"/>
        <w:bidi/>
        <w:rPr>
          <w:i/>
          <w:iCs/>
          <w:sz w:val="22"/>
          <w:szCs w:val="22"/>
          <w:rtl/>
        </w:rPr>
      </w:pPr>
      <w:r w:rsidRPr="009264EA">
        <w:rPr>
          <w:i/>
          <w:iCs/>
          <w:sz w:val="22"/>
          <w:szCs w:val="22"/>
          <w:rtl/>
        </w:rPr>
        <w:t>شاه علم – ماليزيا</w:t>
      </w:r>
    </w:p>
    <w:p w:rsidR="00844980" w:rsidRDefault="00844980" w:rsidP="00844980">
      <w:pPr>
        <w:spacing w:after="120"/>
        <w:jc w:val="center"/>
        <w:rPr>
          <w:rFonts w:asciiTheme="majorBidi" w:hAnsiTheme="majorBidi" w:cstheme="majorBidi"/>
          <w:b/>
          <w:bCs/>
          <w:sz w:val="20"/>
          <w:szCs w:val="20"/>
        </w:rPr>
      </w:pPr>
      <w:r w:rsidRPr="00BB5FA1">
        <w:rPr>
          <w:rFonts w:asciiTheme="majorBidi" w:hAnsiTheme="majorBidi" w:cs="AL-Hotham"/>
          <w:i/>
          <w:iCs/>
        </w:rPr>
        <w:t>ayman.abobakr@mediu.ws</w:t>
      </w:r>
    </w:p>
    <w:p w:rsidR="006C22FA" w:rsidRDefault="006C22FA" w:rsidP="006C22FA">
      <w:pPr>
        <w:spacing w:after="120" w:line="240" w:lineRule="auto"/>
        <w:rPr>
          <w:rFonts w:asciiTheme="majorBidi" w:hAnsiTheme="majorBidi" w:cstheme="majorBidi" w:hint="cs"/>
          <w:b/>
          <w:bCs/>
          <w:sz w:val="20"/>
          <w:szCs w:val="20"/>
          <w:rtl/>
        </w:rPr>
      </w:pPr>
    </w:p>
    <w:p w:rsidR="00844980" w:rsidRPr="00844980" w:rsidRDefault="00844980" w:rsidP="006C22FA">
      <w:pPr>
        <w:spacing w:after="120" w:line="240" w:lineRule="auto"/>
        <w:rPr>
          <w:rFonts w:asciiTheme="majorBidi" w:hAnsiTheme="majorBidi" w:cstheme="majorBidi"/>
          <w:b/>
          <w:bCs/>
          <w:sz w:val="20"/>
          <w:szCs w:val="20"/>
          <w:rtl/>
        </w:rPr>
        <w:sectPr w:rsidR="00844980" w:rsidRPr="00844980" w:rsidSect="00BF7572">
          <w:pgSz w:w="11906" w:h="16838"/>
          <w:pgMar w:top="964" w:right="1021" w:bottom="964" w:left="1021" w:header="709" w:footer="709" w:gutter="0"/>
          <w:cols w:space="708"/>
          <w:bidi/>
          <w:rtlGutter/>
          <w:docGrid w:linePitch="360"/>
        </w:sectPr>
      </w:pPr>
    </w:p>
    <w:p w:rsidR="006C22FA" w:rsidRPr="008B4077" w:rsidRDefault="006C22FA" w:rsidP="006C22FA">
      <w:pPr>
        <w:spacing w:after="120" w:line="240" w:lineRule="auto"/>
        <w:rPr>
          <w:rFonts w:asciiTheme="majorBidi" w:hAnsiTheme="majorBidi" w:cstheme="majorBidi"/>
          <w:b/>
          <w:bCs/>
          <w:sz w:val="20"/>
          <w:szCs w:val="20"/>
          <w:rtl/>
        </w:rPr>
      </w:pPr>
      <w:r w:rsidRPr="008B4077">
        <w:rPr>
          <w:rFonts w:asciiTheme="majorBidi" w:hAnsiTheme="majorBidi" w:cstheme="majorBidi"/>
          <w:b/>
          <w:bCs/>
          <w:sz w:val="20"/>
          <w:szCs w:val="20"/>
          <w:rtl/>
        </w:rPr>
        <w:lastRenderedPageBreak/>
        <w:t xml:space="preserve">خلاصة ـــ هذا البحث يبحث في </w:t>
      </w:r>
      <w:r w:rsidRPr="008B4077">
        <w:rPr>
          <w:rFonts w:asciiTheme="majorBidi" w:eastAsia="Calibri" w:hAnsiTheme="majorBidi" w:cstheme="majorBidi"/>
          <w:b/>
          <w:bCs/>
          <w:sz w:val="20"/>
          <w:szCs w:val="20"/>
          <w:rtl/>
        </w:rPr>
        <w:t>أبرز قواعد الرد على المطاعن</w:t>
      </w:r>
    </w:p>
    <w:p w:rsidR="006C22FA" w:rsidRPr="008B4077" w:rsidRDefault="006C22FA" w:rsidP="006C22FA">
      <w:pPr>
        <w:spacing w:after="120" w:line="240" w:lineRule="auto"/>
        <w:rPr>
          <w:rFonts w:asciiTheme="majorBidi" w:hAnsiTheme="majorBidi" w:cstheme="majorBidi"/>
          <w:b/>
          <w:bCs/>
          <w:sz w:val="20"/>
          <w:szCs w:val="20"/>
          <w:rtl/>
          <w:lang w:bidi="ar-EG"/>
        </w:rPr>
      </w:pPr>
      <w:r w:rsidRPr="008B4077">
        <w:rPr>
          <w:rFonts w:asciiTheme="majorBidi" w:hAnsiTheme="majorBidi" w:cstheme="majorBidi"/>
          <w:b/>
          <w:bCs/>
          <w:sz w:val="20"/>
          <w:szCs w:val="20"/>
          <w:rtl/>
        </w:rPr>
        <w:t>الكلمات المفتاحية :</w:t>
      </w:r>
      <w:r w:rsidRPr="008B4077">
        <w:rPr>
          <w:rFonts w:asciiTheme="majorBidi" w:hAnsiTheme="majorBidi" w:cstheme="majorBidi"/>
          <w:b/>
          <w:bCs/>
          <w:sz w:val="20"/>
          <w:szCs w:val="20"/>
          <w:rtl/>
          <w:lang w:bidi="ar-EG"/>
        </w:rPr>
        <w:t xml:space="preserve"> الحكم</w:t>
      </w:r>
      <w:r w:rsidRPr="008B4077">
        <w:rPr>
          <w:rFonts w:asciiTheme="majorBidi" w:hAnsiTheme="majorBidi" w:cstheme="majorBidi"/>
          <w:b/>
          <w:bCs/>
          <w:sz w:val="20"/>
          <w:szCs w:val="20"/>
          <w:rtl/>
        </w:rPr>
        <w:t xml:space="preserve"> ،</w:t>
      </w:r>
      <w:r w:rsidRPr="008B4077">
        <w:rPr>
          <w:rFonts w:asciiTheme="majorBidi" w:hAnsiTheme="majorBidi" w:cstheme="majorBidi"/>
          <w:b/>
          <w:bCs/>
          <w:sz w:val="20"/>
          <w:szCs w:val="20"/>
          <w:rtl/>
          <w:lang w:bidi="ar-EG"/>
        </w:rPr>
        <w:t xml:space="preserve"> القرآن</w:t>
      </w:r>
      <w:r w:rsidRPr="008B4077">
        <w:rPr>
          <w:rFonts w:asciiTheme="majorBidi" w:hAnsiTheme="majorBidi" w:cstheme="majorBidi"/>
          <w:b/>
          <w:bCs/>
          <w:sz w:val="20"/>
          <w:szCs w:val="20"/>
          <w:rtl/>
        </w:rPr>
        <w:t xml:space="preserve"> ،</w:t>
      </w:r>
      <w:r w:rsidRPr="008B4077">
        <w:rPr>
          <w:rFonts w:asciiTheme="majorBidi" w:hAnsiTheme="majorBidi" w:cstheme="majorBidi"/>
          <w:b/>
          <w:bCs/>
          <w:sz w:val="20"/>
          <w:szCs w:val="20"/>
          <w:rtl/>
          <w:lang w:bidi="ar-EG"/>
        </w:rPr>
        <w:t xml:space="preserve"> كتاب الله</w:t>
      </w:r>
      <w:r w:rsidRPr="008B4077">
        <w:rPr>
          <w:rFonts w:asciiTheme="majorBidi" w:hAnsiTheme="majorBidi" w:cstheme="majorBidi"/>
          <w:b/>
          <w:bCs/>
          <w:sz w:val="20"/>
          <w:szCs w:val="20"/>
          <w:rtl/>
        </w:rPr>
        <w:t xml:space="preserve"> </w:t>
      </w:r>
    </w:p>
    <w:p w:rsidR="006C22FA" w:rsidRPr="008B4077" w:rsidRDefault="006C22FA" w:rsidP="006C22FA">
      <w:pPr>
        <w:pStyle w:val="ListParagraph"/>
        <w:numPr>
          <w:ilvl w:val="0"/>
          <w:numId w:val="1"/>
        </w:numPr>
        <w:spacing w:after="120"/>
        <w:jc w:val="center"/>
        <w:rPr>
          <w:rFonts w:asciiTheme="majorBidi" w:hAnsiTheme="majorBidi" w:cstheme="majorBidi"/>
          <w:b/>
          <w:bCs/>
          <w:sz w:val="20"/>
          <w:szCs w:val="20"/>
          <w:rtl/>
        </w:rPr>
      </w:pPr>
      <w:r w:rsidRPr="008B4077">
        <w:rPr>
          <w:rFonts w:asciiTheme="majorBidi" w:hAnsiTheme="majorBidi" w:cstheme="majorBidi"/>
          <w:b/>
          <w:bCs/>
          <w:sz w:val="20"/>
          <w:szCs w:val="20"/>
          <w:rtl/>
        </w:rPr>
        <w:t>المقدمة</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8B4077">
        <w:rPr>
          <w:rFonts w:asciiTheme="majorBidi" w:eastAsia="Calibri" w:hAnsiTheme="majorBidi" w:cstheme="majorBidi"/>
          <w:b/>
          <w:bCs/>
          <w:sz w:val="20"/>
          <w:szCs w:val="20"/>
          <w:rtl/>
        </w:rPr>
        <w:t>أبرز قواعد الرد على المطاعن</w:t>
      </w:r>
    </w:p>
    <w:p w:rsidR="006C22FA" w:rsidRPr="008B4077" w:rsidRDefault="006C22FA" w:rsidP="006C22FA">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8B4077">
        <w:rPr>
          <w:rFonts w:asciiTheme="majorBidi" w:hAnsiTheme="majorBidi" w:cstheme="majorBidi"/>
          <w:b/>
          <w:bCs/>
          <w:sz w:val="20"/>
          <w:szCs w:val="20"/>
          <w:rtl/>
        </w:rPr>
        <w:t>عنوان المقال</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sz w:val="20"/>
          <w:szCs w:val="20"/>
          <w:rtl/>
          <w:lang w:bidi="ar-EG"/>
        </w:rPr>
        <w:t xml:space="preserve">وبعد بيان هذه الحكم نختم الكلام على تلك المقدمة التي تكلمنا فيها عن الطعن في القرآن، نختم الكلام ببيان قواعد يُتعامل بها على المطاعن، وأشرع في ذلك في العنوان التالي بإذن الله </w:t>
      </w:r>
      <w:r w:rsidRPr="008B4077">
        <w:rPr>
          <w:rFonts w:asciiTheme="majorBidi" w:hAnsiTheme="majorBidi" w:cstheme="majorBidi"/>
          <w:b/>
          <w:bCs/>
          <w:position w:val="-4"/>
          <w:sz w:val="20"/>
          <w:szCs w:val="20"/>
          <w:lang w:bidi="ar-EG"/>
        </w:rPr>
        <w:t></w:t>
      </w:r>
      <w:r w:rsidRPr="008B4077">
        <w:rPr>
          <w:rFonts w:asciiTheme="majorBidi" w:hAnsiTheme="majorBidi" w:cstheme="majorBidi"/>
          <w:b/>
          <w:bCs/>
          <w:sz w:val="20"/>
          <w:szCs w:val="20"/>
          <w:rtl/>
          <w:lang w:bidi="ar-EG"/>
        </w:rPr>
        <w:t>، والذي نتكلم فيه عن قواعد التعامل مع المطاعن فأقول: "لنا في التعامل مع المطاعن التي تُثار حول كتاب الله قواعد عدَّة، وهي كالتالي:</w:t>
      </w:r>
    </w:p>
    <w:p w:rsidR="006C22FA" w:rsidRPr="008B4077" w:rsidRDefault="006C22FA" w:rsidP="008B4077">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color w:val="000080"/>
          <w:sz w:val="20"/>
          <w:szCs w:val="20"/>
          <w:rtl/>
          <w:lang w:bidi="ar-EG"/>
        </w:rPr>
        <w:t>أولًا:</w:t>
      </w:r>
      <w:r w:rsidRPr="008B4077">
        <w:rPr>
          <w:rFonts w:asciiTheme="majorBidi" w:hAnsiTheme="majorBidi" w:cstheme="majorBidi"/>
          <w:b/>
          <w:bCs/>
          <w:sz w:val="20"/>
          <w:szCs w:val="20"/>
          <w:rtl/>
          <w:lang w:bidi="ar-EG"/>
        </w:rPr>
        <w:t xml:space="preserve"> اليقين التام بأن جميع هذه المطاعن مفتراة مكذوبة لا أصل لها من الصحة، ولا أساس لها من الواقع وإنما هي محض أوهام، بل أضغاث أحلام جاءت من قلب امرئ حاقد، أو جاهل؛ لأن الله تعالى يقول: </w:t>
      </w:r>
      <w:r w:rsidR="008B4077" w:rsidRPr="008B4077">
        <w:rPr>
          <w:rFonts w:ascii="Lotus Linotype" w:hAnsi="Lotus Linotype" w:cs="DecoType Thuluth"/>
          <w:color w:val="008000"/>
          <w:sz w:val="20"/>
          <w:szCs w:val="20"/>
          <w:rtl/>
          <w:lang w:bidi="ar-EG"/>
        </w:rPr>
        <w:t>{</w:t>
      </w:r>
      <w:r w:rsidR="008B4077" w:rsidRPr="008B4077">
        <w:rPr>
          <w:rFonts w:ascii="QCF_P481" w:hAnsi="QCF_P481" w:cs="QCF_P481"/>
          <w:color w:val="008000"/>
          <w:sz w:val="20"/>
          <w:szCs w:val="20"/>
          <w:rtl/>
        </w:rPr>
        <w:t>ﮓ ﮔ ﮕ ﮖ ﮗ ﮘ ﮙ ﮚ ﮛ ﮜ ﮝ ﮞ ﮟ ﮠ</w:t>
      </w:r>
      <w:r w:rsidR="008B4077" w:rsidRPr="008B4077">
        <w:rPr>
          <w:rFonts w:ascii="QCF_P481" w:hAnsi="QCF_P481" w:cs="DecoType Thuluth"/>
          <w:color w:val="008000"/>
          <w:sz w:val="20"/>
          <w:szCs w:val="20"/>
          <w:rtl/>
        </w:rPr>
        <w:t>}</w:t>
      </w:r>
      <w:r w:rsidR="008B4077" w:rsidRPr="008B4077">
        <w:rPr>
          <w:rFonts w:ascii="Lotus Linotype" w:hAnsi="Lotus Linotype" w:cs="AL-Hotham"/>
          <w:color w:val="008000"/>
          <w:sz w:val="20"/>
          <w:szCs w:val="20"/>
          <w:rtl/>
          <w:lang w:bidi="ar-EG"/>
        </w:rPr>
        <w:t xml:space="preserve"> </w:t>
      </w:r>
      <w:r w:rsidRPr="008B4077">
        <w:rPr>
          <w:rFonts w:asciiTheme="majorBidi" w:hAnsiTheme="majorBidi" w:cstheme="majorBidi"/>
          <w:b/>
          <w:bCs/>
          <w:sz w:val="20"/>
          <w:szCs w:val="20"/>
          <w:rtl/>
          <w:lang w:bidi="ar-EG"/>
        </w:rPr>
        <w:t>[فصلت: 42]، فما كان لنا أن نُكذِّب ربنا ونُصدِّق ملحدًا حاقدًا أو مجادلًا جاهلًا، وهذه القضية في غاية الأهمية إذ إن كل من تأثَّر من المستشرقين لم تكن عنده هذه القاعدة من المسلمات، بل ضعف يقينهم في هذا الباب، وهذا الضعف هو الذي أدَّى بهم إلى المزالق.</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color w:val="000080"/>
          <w:sz w:val="20"/>
          <w:szCs w:val="20"/>
          <w:rtl/>
          <w:lang w:bidi="ar-EG"/>
        </w:rPr>
        <w:t>القاعدة الثانية:</w:t>
      </w:r>
      <w:r w:rsidRPr="008B4077">
        <w:rPr>
          <w:rFonts w:asciiTheme="majorBidi" w:hAnsiTheme="majorBidi" w:cstheme="majorBidi"/>
          <w:b/>
          <w:bCs/>
          <w:sz w:val="20"/>
          <w:szCs w:val="20"/>
          <w:rtl/>
          <w:lang w:bidi="ar-EG"/>
        </w:rPr>
        <w:t xml:space="preserve"> إن عدم قدرة إنسان معين على الرَّدِّ ليس معناه الهزيمة والعجز وإثبات الطعن، بل إنه لا يخلو زمان من قائم لله بالحجة لقوله تعالى: </w:t>
      </w:r>
      <w:r w:rsidRPr="008B4077">
        <w:rPr>
          <w:rFonts w:ascii="Lotus Linotype" w:hAnsi="Lotus Linotype" w:cs="DecoType Thuluth"/>
          <w:color w:val="008000"/>
          <w:sz w:val="20"/>
          <w:szCs w:val="20"/>
          <w:rtl/>
          <w:lang w:bidi="ar-EG"/>
        </w:rPr>
        <w:t>{</w:t>
      </w:r>
      <w:r w:rsidRPr="008B4077">
        <w:rPr>
          <w:rFonts w:ascii="QCF_P262" w:hAnsi="QCF_P262" w:cs="QCF_P262"/>
          <w:color w:val="008000"/>
          <w:sz w:val="20"/>
          <w:szCs w:val="20"/>
          <w:rtl/>
        </w:rPr>
        <w:t>ﮗ ﮘ ﮙ ﮚ ﮛ ﮜ ﮝ</w:t>
      </w:r>
      <w:r w:rsidRPr="008B4077">
        <w:rPr>
          <w:rFonts w:ascii="QCF_P262" w:hAnsi="QCF_P262" w:cs="DecoType Thuluth"/>
          <w:color w:val="008000"/>
          <w:sz w:val="20"/>
          <w:szCs w:val="20"/>
          <w:rtl/>
        </w:rPr>
        <w:t>}</w:t>
      </w:r>
      <w:r w:rsidRPr="008B4077">
        <w:rPr>
          <w:rFonts w:ascii="Lotus Linotype" w:hAnsi="Lotus Linotype" w:cs="AL-Hotham"/>
          <w:color w:val="008000"/>
          <w:sz w:val="20"/>
          <w:szCs w:val="20"/>
          <w:rtl/>
          <w:lang w:bidi="ar-EG"/>
        </w:rPr>
        <w:t xml:space="preserve"> </w:t>
      </w:r>
      <w:r w:rsidRPr="008B4077">
        <w:rPr>
          <w:rFonts w:asciiTheme="majorBidi" w:hAnsiTheme="majorBidi" w:cstheme="majorBidi"/>
          <w:b/>
          <w:bCs/>
          <w:sz w:val="20"/>
          <w:szCs w:val="20"/>
          <w:rtl/>
          <w:lang w:bidi="ar-EG"/>
        </w:rPr>
        <w:t>[الحجر: 9].</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color w:val="000080"/>
          <w:sz w:val="20"/>
          <w:szCs w:val="20"/>
          <w:rtl/>
          <w:lang w:bidi="ar-EG"/>
        </w:rPr>
        <w:t>القاعدة الثالثة:</w:t>
      </w:r>
      <w:r w:rsidRPr="008B4077">
        <w:rPr>
          <w:rFonts w:asciiTheme="majorBidi" w:hAnsiTheme="majorBidi" w:cstheme="majorBidi"/>
          <w:b/>
          <w:bCs/>
          <w:sz w:val="20"/>
          <w:szCs w:val="20"/>
          <w:rtl/>
          <w:lang w:bidi="ar-EG"/>
        </w:rPr>
        <w:t xml:space="preserve"> نُورد فيها قانون العمل عند وجود الطعن لسبب ما من الأسباب، هذا القانون له عدَّة خُطُوات. </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color w:val="000080"/>
          <w:sz w:val="20"/>
          <w:szCs w:val="20"/>
          <w:rtl/>
          <w:lang w:bidi="ar-EG"/>
        </w:rPr>
        <w:t>الخطوة الأولى:</w:t>
      </w:r>
      <w:r w:rsidRPr="008B4077">
        <w:rPr>
          <w:rFonts w:asciiTheme="majorBidi" w:hAnsiTheme="majorBidi" w:cstheme="majorBidi"/>
          <w:b/>
          <w:bCs/>
          <w:sz w:val="20"/>
          <w:szCs w:val="20"/>
          <w:rtl/>
          <w:lang w:bidi="ar-EG"/>
        </w:rPr>
        <w:t xml:space="preserve"> الجمع بين مدلولات النصوص والتوفيق بينها ما أمكن، فالخاص يُقدَّم على العام، والمطلق يقيد بالمقيد.</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color w:val="000080"/>
          <w:sz w:val="20"/>
          <w:szCs w:val="20"/>
          <w:rtl/>
          <w:lang w:bidi="ar-EG"/>
        </w:rPr>
        <w:t>ثانيًا:</w:t>
      </w:r>
      <w:r w:rsidRPr="008B4077">
        <w:rPr>
          <w:rFonts w:asciiTheme="majorBidi" w:hAnsiTheme="majorBidi" w:cstheme="majorBidi"/>
          <w:b/>
          <w:bCs/>
          <w:sz w:val="20"/>
          <w:szCs w:val="20"/>
          <w:rtl/>
          <w:lang w:bidi="ar-EG"/>
        </w:rPr>
        <w:t xml:space="preserve"> إن تعذَّر الجمع فالنسخ إن أمكن ذلك، وعُلم المتقدِّم والمتأخر. </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color w:val="000080"/>
          <w:sz w:val="20"/>
          <w:szCs w:val="20"/>
          <w:rtl/>
          <w:lang w:bidi="ar-EG"/>
        </w:rPr>
        <w:t>ثالثًا:</w:t>
      </w:r>
      <w:r w:rsidRPr="008B4077">
        <w:rPr>
          <w:rFonts w:asciiTheme="majorBidi" w:hAnsiTheme="majorBidi" w:cstheme="majorBidi"/>
          <w:b/>
          <w:bCs/>
          <w:sz w:val="20"/>
          <w:szCs w:val="20"/>
          <w:rtl/>
          <w:lang w:bidi="ar-EG"/>
        </w:rPr>
        <w:t xml:space="preserve"> إن تعذَّر النسخ لجأنا إلى الترجيح؛ أي: إن تعذَّر القول بالنسخ لجأنا إلى الترجيح فيُقدَّم الراجح للعمل، ومسلك الترجيح بين الآيات يقوم على الآتي: يقوم على تقديم المدني على المكي، أو أن يكون الحكم على غالب أحوال أهل مكة، والآخر على غالب أهل المدينة، فيقدم الحكم بالخبر الذي فيه أحوال أهل المدينة، وكذلك هناك خطوات كثيرة ذكرها الإمام الزركشي -رحمه الله- عندما قال: "فصل في القول عند تعارض الآية، إذا تعارضت الآي، وتعذَّر فيها الترتيب والجمع؛ طُلب التاريخ، وترك المتقدم منهما بالمتأخر، ويكون ذلك نسخًا له، وإن لم يوجد التاريخ، وكان الإجماع على استعمال إحدى الآيتين؛ عُلم بإجماعهم أن الناسخ ما أجمعوا على العمل به، قال: ولا يوجد في القرآن آيتان متعارضتان تُعرَّيان عن هذين الوصفين".</w:t>
      </w:r>
    </w:p>
    <w:p w:rsidR="006C22FA" w:rsidRPr="008B4077" w:rsidRDefault="006C22FA" w:rsidP="006C22FA">
      <w:pPr>
        <w:pStyle w:val="NormalWeb"/>
        <w:bidi/>
        <w:jc w:val="lowKashida"/>
        <w:rPr>
          <w:rFonts w:asciiTheme="majorBidi" w:hAnsiTheme="majorBidi" w:cstheme="majorBidi"/>
          <w:b/>
          <w:bCs/>
          <w:color w:val="000080"/>
          <w:sz w:val="20"/>
          <w:szCs w:val="20"/>
          <w:rtl/>
        </w:rPr>
      </w:pPr>
      <w:r w:rsidRPr="008B4077">
        <w:rPr>
          <w:rFonts w:asciiTheme="majorBidi" w:hAnsiTheme="majorBidi" w:cstheme="majorBidi"/>
          <w:b/>
          <w:bCs/>
          <w:color w:val="000080"/>
          <w:sz w:val="20"/>
          <w:szCs w:val="20"/>
          <w:rtl/>
          <w:lang w:bidi="ar-EG"/>
        </w:rPr>
        <w:t>وذكروا عند التعارض مرجِّحات:</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color w:val="000080"/>
          <w:sz w:val="20"/>
          <w:szCs w:val="20"/>
          <w:rtl/>
          <w:lang w:bidi="ar-EG"/>
        </w:rPr>
        <w:lastRenderedPageBreak/>
        <w:t>الأول:</w:t>
      </w:r>
      <w:r w:rsidRPr="008B4077">
        <w:rPr>
          <w:rFonts w:asciiTheme="majorBidi" w:hAnsiTheme="majorBidi" w:cstheme="majorBidi"/>
          <w:b/>
          <w:bCs/>
          <w:sz w:val="20"/>
          <w:szCs w:val="20"/>
          <w:rtl/>
          <w:lang w:bidi="ar-EG"/>
        </w:rPr>
        <w:t xml:space="preserve"> تقديم المدني على المكي، وإن كان يجوز أن تكون المكية نزلت عليه </w:t>
      </w:r>
      <w:r w:rsidRPr="008B4077">
        <w:rPr>
          <w:rFonts w:asciiTheme="majorBidi" w:hAnsiTheme="majorBidi" w:cstheme="majorBidi"/>
          <w:b/>
          <w:bCs/>
          <w:position w:val="-4"/>
          <w:sz w:val="20"/>
          <w:szCs w:val="20"/>
          <w:lang w:bidi="ar-EG"/>
        </w:rPr>
        <w:t></w:t>
      </w:r>
      <w:r w:rsidRPr="008B4077">
        <w:rPr>
          <w:rFonts w:asciiTheme="majorBidi" w:hAnsiTheme="majorBidi" w:cstheme="majorBidi"/>
          <w:b/>
          <w:bCs/>
          <w:sz w:val="20"/>
          <w:szCs w:val="20"/>
          <w:rtl/>
          <w:lang w:bidi="ar-EG"/>
        </w:rPr>
        <w:t xml:space="preserve"> بعد عوده إلى مكة والمدنية قبلها، فيُقدَّم الحكم بالآية المدنية على المكية في التخصيص والتقديم؛ إذ كان غالب الآيات المكية نزولها قبل الهجرة.</w:t>
      </w:r>
    </w:p>
    <w:p w:rsidR="006C22FA" w:rsidRPr="008B4077" w:rsidRDefault="006C22FA" w:rsidP="006C22FA">
      <w:pPr>
        <w:pStyle w:val="NormalWeb"/>
        <w:bidi/>
        <w:spacing w:before="0" w:beforeAutospacing="0" w:after="120" w:afterAutospacing="0"/>
        <w:jc w:val="lowKashida"/>
        <w:rPr>
          <w:rFonts w:asciiTheme="majorBidi" w:hAnsiTheme="majorBidi" w:cstheme="majorBidi"/>
          <w:b/>
          <w:bCs/>
          <w:sz w:val="20"/>
          <w:szCs w:val="20"/>
          <w:rtl/>
        </w:rPr>
      </w:pPr>
      <w:r w:rsidRPr="008B4077">
        <w:rPr>
          <w:rFonts w:asciiTheme="majorBidi" w:hAnsiTheme="majorBidi" w:cstheme="majorBidi"/>
          <w:b/>
          <w:bCs/>
          <w:color w:val="000080"/>
          <w:sz w:val="20"/>
          <w:szCs w:val="20"/>
          <w:rtl/>
          <w:lang w:bidi="ar-EG"/>
        </w:rPr>
        <w:t>ثانيًا:</w:t>
      </w:r>
      <w:r w:rsidRPr="008B4077">
        <w:rPr>
          <w:rFonts w:asciiTheme="majorBidi" w:hAnsiTheme="majorBidi" w:cstheme="majorBidi"/>
          <w:b/>
          <w:bCs/>
          <w:sz w:val="20"/>
          <w:szCs w:val="20"/>
          <w:rtl/>
          <w:lang w:bidi="ar-EG"/>
        </w:rPr>
        <w:t xml:space="preserve"> أن يكون أحد الحكمين على غالب أحوال أهل مكة، والآخر على غالب أحوال أهل المدينة، فيُقدَّم الحكم بالخبر الذي فيه أحوال أهل المدينة كقوله تعالى: </w:t>
      </w:r>
      <w:r w:rsidRPr="008B4077">
        <w:rPr>
          <w:rFonts w:ascii="Lotus Linotype" w:hAnsi="Lotus Linotype" w:cs="DecoType Thuluth"/>
          <w:color w:val="008000"/>
          <w:sz w:val="20"/>
          <w:szCs w:val="20"/>
          <w:rtl/>
          <w:lang w:bidi="ar-EG"/>
        </w:rPr>
        <w:t>{</w:t>
      </w:r>
      <w:r w:rsidRPr="008B4077">
        <w:rPr>
          <w:rFonts w:ascii="QCF_P062" w:hAnsi="QCF_P062" w:cs="QCF_P062"/>
          <w:color w:val="008000"/>
          <w:sz w:val="20"/>
          <w:szCs w:val="20"/>
          <w:rtl/>
        </w:rPr>
        <w:t>ﮧ ﮨ ﮩ ﮪ</w:t>
      </w:r>
      <w:r w:rsidRPr="008B4077">
        <w:rPr>
          <w:rFonts w:ascii="QCF_P062" w:hAnsi="QCF_P062" w:cs="DecoType Thuluth"/>
          <w:color w:val="008000"/>
          <w:sz w:val="20"/>
          <w:szCs w:val="20"/>
          <w:rtl/>
        </w:rPr>
        <w:t>}</w:t>
      </w:r>
      <w:r w:rsidRPr="008B4077">
        <w:rPr>
          <w:rFonts w:ascii="Lotus Linotype" w:hAnsi="Lotus Linotype" w:cs="AL-Hotham"/>
          <w:color w:val="008000"/>
          <w:sz w:val="20"/>
          <w:szCs w:val="20"/>
          <w:rtl/>
          <w:lang w:bidi="ar-EG"/>
        </w:rPr>
        <w:t xml:space="preserve"> </w:t>
      </w:r>
      <w:r w:rsidRPr="008B4077">
        <w:rPr>
          <w:rFonts w:asciiTheme="majorBidi" w:hAnsiTheme="majorBidi" w:cstheme="majorBidi"/>
          <w:b/>
          <w:bCs/>
          <w:sz w:val="20"/>
          <w:szCs w:val="20"/>
          <w:rtl/>
          <w:lang w:bidi="ar-EG"/>
        </w:rPr>
        <w:t xml:space="preserve">[آل عمران: 97] مع قوله تعالى: </w:t>
      </w:r>
      <w:r w:rsidRPr="008B4077">
        <w:rPr>
          <w:rFonts w:ascii="Lotus Linotype" w:hAnsi="Lotus Linotype" w:cs="DecoType Thuluth"/>
          <w:color w:val="008000"/>
          <w:sz w:val="20"/>
          <w:szCs w:val="20"/>
          <w:rtl/>
          <w:lang w:bidi="ar-EG"/>
        </w:rPr>
        <w:t>{</w:t>
      </w:r>
      <w:r w:rsidRPr="008B4077">
        <w:rPr>
          <w:rFonts w:ascii="QCF_P027" w:hAnsi="QCF_P027" w:cs="QCF_P027"/>
          <w:color w:val="008000"/>
          <w:sz w:val="20"/>
          <w:szCs w:val="20"/>
          <w:rtl/>
        </w:rPr>
        <w:t>ﮌ ﮍ ﮎ ﮏ ﮐ</w:t>
      </w:r>
      <w:r w:rsidRPr="008B4077">
        <w:rPr>
          <w:rFonts w:ascii="QCF_P027" w:hAnsi="QCF_P027" w:cs="DecoType Thuluth"/>
          <w:color w:val="008000"/>
          <w:sz w:val="20"/>
          <w:szCs w:val="20"/>
          <w:rtl/>
        </w:rPr>
        <w:t>}</w:t>
      </w:r>
      <w:r w:rsidRPr="008B4077">
        <w:rPr>
          <w:rFonts w:ascii="Lotus Linotype" w:hAnsi="Lotus Linotype" w:cs="AL-Hotham"/>
          <w:color w:val="008000"/>
          <w:sz w:val="20"/>
          <w:szCs w:val="20"/>
          <w:rtl/>
          <w:lang w:bidi="ar-EG"/>
        </w:rPr>
        <w:t xml:space="preserve"> </w:t>
      </w:r>
      <w:r w:rsidRPr="008B4077">
        <w:rPr>
          <w:rFonts w:asciiTheme="majorBidi" w:hAnsiTheme="majorBidi" w:cstheme="majorBidi"/>
          <w:b/>
          <w:bCs/>
          <w:sz w:val="20"/>
          <w:szCs w:val="20"/>
          <w:rtl/>
          <w:lang w:bidi="ar-EG"/>
        </w:rPr>
        <w:t xml:space="preserve">[البقرة: 178]، فإذا أمكن بناء كل واحدة من الآيتين على البدل؛ جُعل التخصيص في قوله تعالى: </w:t>
      </w:r>
      <w:r w:rsidRPr="008B4077">
        <w:rPr>
          <w:rFonts w:ascii="Lotus Linotype" w:hAnsi="Lotus Linotype" w:cs="DecoType Thuluth"/>
          <w:color w:val="008000"/>
          <w:sz w:val="20"/>
          <w:szCs w:val="20"/>
          <w:rtl/>
          <w:lang w:bidi="ar-EG"/>
        </w:rPr>
        <w:t>{</w:t>
      </w:r>
      <w:r w:rsidRPr="008B4077">
        <w:rPr>
          <w:rFonts w:ascii="QCF_P062" w:hAnsi="QCF_P062" w:cs="QCF_P062"/>
          <w:color w:val="008000"/>
          <w:sz w:val="20"/>
          <w:szCs w:val="20"/>
          <w:rtl/>
        </w:rPr>
        <w:t>ﮧ ﮨ ﮩ ﮪ ﮫ</w:t>
      </w:r>
      <w:r w:rsidRPr="008B4077">
        <w:rPr>
          <w:rFonts w:ascii="QCF_P062" w:hAnsi="QCF_P062" w:cs="DecoType Thuluth"/>
          <w:color w:val="008000"/>
          <w:sz w:val="20"/>
          <w:szCs w:val="20"/>
          <w:rtl/>
        </w:rPr>
        <w:t>}</w:t>
      </w:r>
      <w:r w:rsidRPr="008B4077">
        <w:rPr>
          <w:rFonts w:ascii="Lotus Linotype" w:hAnsi="Lotus Linotype" w:cs="AL-Hotham"/>
          <w:color w:val="008000"/>
          <w:sz w:val="20"/>
          <w:szCs w:val="20"/>
          <w:rtl/>
          <w:lang w:bidi="ar-EG"/>
        </w:rPr>
        <w:t xml:space="preserve"> </w:t>
      </w:r>
      <w:r w:rsidRPr="008B4077">
        <w:rPr>
          <w:rFonts w:asciiTheme="majorBidi" w:hAnsiTheme="majorBidi" w:cstheme="majorBidi"/>
          <w:b/>
          <w:bCs/>
          <w:sz w:val="20"/>
          <w:szCs w:val="20"/>
          <w:rtl/>
          <w:lang w:bidi="ar-EG"/>
        </w:rPr>
        <w:t>[آل عمران: 97] كأنه قال: إلا من وجب عليه القصاص إلى آخر ما قال الإمام الزركشي -ر حمه الله.</w:t>
      </w:r>
    </w:p>
    <w:p w:rsidR="006C22FA" w:rsidRPr="008B4077" w:rsidRDefault="006C22FA" w:rsidP="006C22FA">
      <w:pPr>
        <w:spacing w:line="240" w:lineRule="auto"/>
        <w:rPr>
          <w:rFonts w:asciiTheme="majorBidi" w:hAnsiTheme="majorBidi" w:cstheme="majorBidi"/>
          <w:b/>
          <w:bCs/>
          <w:i/>
          <w:iCs/>
          <w:sz w:val="20"/>
          <w:szCs w:val="20"/>
          <w:rtl/>
          <w:lang w:bidi="ar-EG"/>
        </w:rPr>
      </w:pPr>
      <w:r w:rsidRPr="008B4077">
        <w:rPr>
          <w:rFonts w:asciiTheme="majorBidi" w:hAnsiTheme="majorBidi" w:cstheme="majorBidi"/>
          <w:b/>
          <w:bCs/>
          <w:sz w:val="20"/>
          <w:szCs w:val="20"/>
          <w:rtl/>
          <w:lang w:bidi="ar-EG"/>
        </w:rPr>
        <w:t>وقد ذكر الإمام الشوكاني -رحمه الله- في كتابه (إرشاد الفحول إلى تحقيق الحق من علم الأصول) في باب أنواع الترجيح، ذكر -رحمه الله- طرقًا كثيرة للترجيح، فباعتبار المتن ذكر ثمانية وعشرين نوعًا، وباعتبار المدلول ذكر تسعة أنواع، والترجيح باعتبار أمور خارجة ذكر عشرة أنواع؛ فالمجموع سبعة وأربعون نوعًا للترجيح ذكرها الإمام الشوكاني -رحمه الله.</w:t>
      </w:r>
    </w:p>
    <w:p w:rsidR="006C22FA" w:rsidRPr="008B4077" w:rsidRDefault="006C22FA" w:rsidP="006C22FA">
      <w:pPr>
        <w:spacing w:after="120" w:line="240" w:lineRule="auto"/>
        <w:jc w:val="center"/>
        <w:rPr>
          <w:rFonts w:asciiTheme="majorBidi" w:hAnsiTheme="majorBidi" w:cstheme="majorBidi"/>
          <w:b/>
          <w:bCs/>
          <w:sz w:val="20"/>
          <w:szCs w:val="20"/>
          <w:rtl/>
        </w:rPr>
      </w:pPr>
      <w:r w:rsidRPr="008B4077">
        <w:rPr>
          <w:rFonts w:asciiTheme="majorBidi" w:hAnsiTheme="majorBidi" w:cstheme="majorBidi"/>
          <w:b/>
          <w:bCs/>
          <w:sz w:val="20"/>
          <w:szCs w:val="20"/>
          <w:rtl/>
        </w:rPr>
        <w:t>المصادر والمراجع</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tl/>
        </w:rPr>
      </w:pPr>
      <w:r w:rsidRPr="008B4077">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tl/>
        </w:rPr>
      </w:pPr>
      <w:r w:rsidRPr="008B4077">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Pr>
      </w:pPr>
      <w:r w:rsidRPr="008B4077">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Pr>
      </w:pPr>
      <w:r w:rsidRPr="008B4077">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tl/>
        </w:rPr>
      </w:pPr>
      <w:r w:rsidRPr="008B4077">
        <w:rPr>
          <w:rFonts w:asciiTheme="majorBidi" w:hAnsiTheme="majorBidi" w:cstheme="majorBidi"/>
          <w:b/>
          <w:bCs/>
          <w:sz w:val="20"/>
          <w:szCs w:val="20"/>
          <w:rtl/>
        </w:rPr>
        <w:t>أبي داود، ابن أبي داود، تحقيق: محب الدين واعظ، (المصاحف) ، دار البشائر الإسلامية، 2002م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Pr>
      </w:pPr>
      <w:r w:rsidRPr="008B4077">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tl/>
        </w:rPr>
      </w:pPr>
      <w:r w:rsidRPr="008B4077">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tl/>
        </w:rPr>
      </w:pPr>
      <w:r w:rsidRPr="008B4077">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Pr>
      </w:pPr>
      <w:r w:rsidRPr="008B4077">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Pr>
      </w:pPr>
      <w:r w:rsidRPr="008B4077">
        <w:rPr>
          <w:rFonts w:asciiTheme="majorBidi" w:hAnsiTheme="majorBidi" w:cstheme="majorBidi"/>
          <w:b/>
          <w:bCs/>
          <w:sz w:val="20"/>
          <w:szCs w:val="20"/>
          <w:rtl/>
        </w:rPr>
        <w:lastRenderedPageBreak/>
        <w:t>أبو زهرة، محمد أبو زهرة، (المعجزة الكبرى القرآن)  ، دار طيب للنشر، 2003م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Pr>
      </w:pPr>
      <w:r w:rsidRPr="008B4077">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6C22FA" w:rsidRPr="008B4077" w:rsidRDefault="006C22FA" w:rsidP="006C22FA">
      <w:pPr>
        <w:numPr>
          <w:ilvl w:val="0"/>
          <w:numId w:val="2"/>
        </w:numPr>
        <w:spacing w:after="120" w:line="240" w:lineRule="auto"/>
        <w:jc w:val="lowKashida"/>
        <w:rPr>
          <w:rFonts w:asciiTheme="majorBidi" w:hAnsiTheme="majorBidi" w:cstheme="majorBidi"/>
          <w:b/>
          <w:bCs/>
          <w:sz w:val="20"/>
          <w:szCs w:val="20"/>
        </w:rPr>
      </w:pPr>
      <w:r w:rsidRPr="008B4077">
        <w:rPr>
          <w:rFonts w:asciiTheme="majorBidi" w:hAnsiTheme="majorBidi" w:cstheme="majorBidi"/>
          <w:b/>
          <w:bCs/>
          <w:sz w:val="20"/>
          <w:szCs w:val="20"/>
          <w:rtl/>
        </w:rPr>
        <w:lastRenderedPageBreak/>
        <w:t>الباقلاني، أبو بكر بن الطيب الباقلاني، تحقيق: عماد الدين حيدر،  (إعجاز القرآن) ، مؤسسة الكتب الثقافية، 1991م</w:t>
      </w:r>
    </w:p>
    <w:p w:rsidR="006C22FA" w:rsidRPr="008B4077" w:rsidRDefault="006C22FA" w:rsidP="006C22FA">
      <w:pPr>
        <w:rPr>
          <w:i/>
          <w:iCs/>
          <w:sz w:val="20"/>
          <w:szCs w:val="20"/>
          <w:rtl/>
          <w:lang w:bidi="ar-EG"/>
        </w:rPr>
        <w:sectPr w:rsidR="006C22FA" w:rsidRPr="008B4077" w:rsidSect="006C22FA">
          <w:type w:val="continuous"/>
          <w:pgSz w:w="11906" w:h="16838"/>
          <w:pgMar w:top="964" w:right="1021" w:bottom="964" w:left="1021" w:header="709" w:footer="709" w:gutter="0"/>
          <w:cols w:num="2" w:space="708"/>
          <w:bidi/>
          <w:rtlGutter/>
          <w:docGrid w:linePitch="360"/>
        </w:sectPr>
      </w:pPr>
    </w:p>
    <w:p w:rsidR="006C22FA" w:rsidRPr="008B4077" w:rsidRDefault="006C22FA" w:rsidP="006C22FA">
      <w:pPr>
        <w:rPr>
          <w:i/>
          <w:iCs/>
          <w:sz w:val="20"/>
          <w:szCs w:val="20"/>
          <w:lang w:bidi="ar-EG"/>
        </w:rPr>
      </w:pPr>
    </w:p>
    <w:sectPr w:rsidR="006C22FA" w:rsidRPr="008B4077" w:rsidSect="006C22F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481">
    <w:altName w:val="Times New Roman"/>
    <w:panose1 w:val="02000400000000000000"/>
    <w:charset w:val="00"/>
    <w:family w:val="auto"/>
    <w:pitch w:val="variable"/>
    <w:sig w:usb0="80002003" w:usb1="90000000" w:usb2="00000008" w:usb3="00000000" w:csb0="80000041" w:csb1="00000000"/>
  </w:font>
  <w:font w:name="QCF_P262">
    <w:altName w:val="Times New Roman"/>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C96CBA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6C22FA"/>
    <w:rsid w:val="00360A91"/>
    <w:rsid w:val="00514443"/>
    <w:rsid w:val="006C22FA"/>
    <w:rsid w:val="00844980"/>
    <w:rsid w:val="008B4077"/>
    <w:rsid w:val="009556CB"/>
    <w:rsid w:val="00BF7572"/>
    <w:rsid w:val="00DA3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C22FA"/>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C22F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22F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2013-06-22T10:56:00Z</dcterms:created>
  <dcterms:modified xsi:type="dcterms:W3CDTF">2013-06-26T21:47:00Z</dcterms:modified>
</cp:coreProperties>
</file>