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A1" w:rsidRDefault="00361DA1" w:rsidP="005D5466">
      <w:pPr>
        <w:spacing w:before="60"/>
        <w:jc w:val="center"/>
        <w:rPr>
          <w:b/>
          <w:bCs/>
          <w:sz w:val="48"/>
          <w:szCs w:val="48"/>
        </w:rPr>
      </w:pPr>
      <w:r w:rsidRPr="005D5466">
        <w:rPr>
          <w:b/>
          <w:bCs/>
          <w:sz w:val="48"/>
          <w:szCs w:val="48"/>
          <w:rtl/>
        </w:rPr>
        <w:t>ما جاء وصفًا للمرأة دون أن تلحقه علامة التأنيث ودلّ على النسب</w:t>
      </w:r>
    </w:p>
    <w:p w:rsidR="00361DA1" w:rsidRPr="00426F7E" w:rsidRDefault="00361DA1" w:rsidP="005D5466">
      <w:pPr>
        <w:jc w:val="center"/>
        <w:rPr>
          <w:color w:val="4F81BD"/>
          <w:sz w:val="18"/>
          <w:szCs w:val="18"/>
          <w:rtl/>
          <w:lang w:bidi="ar-EG"/>
        </w:rPr>
      </w:pPr>
      <w:r w:rsidRPr="00426F7E">
        <w:rPr>
          <w:sz w:val="18"/>
          <w:szCs w:val="18"/>
          <w:rtl/>
        </w:rPr>
        <w:t xml:space="preserve">بحث </w:t>
      </w:r>
      <w:proofErr w:type="spellStart"/>
      <w:r w:rsidRPr="00426F7E">
        <w:rPr>
          <w:sz w:val="18"/>
          <w:szCs w:val="18"/>
          <w:rtl/>
        </w:rPr>
        <w:t>فى</w:t>
      </w:r>
      <w:proofErr w:type="spellEnd"/>
      <w:r w:rsidRPr="00426F7E">
        <w:rPr>
          <w:sz w:val="18"/>
          <w:szCs w:val="18"/>
          <w:rtl/>
        </w:rPr>
        <w:t xml:space="preserve"> </w:t>
      </w:r>
      <w:r>
        <w:rPr>
          <w:sz w:val="18"/>
          <w:szCs w:val="18"/>
          <w:rtl/>
        </w:rPr>
        <w:t>علم</w:t>
      </w:r>
      <w:r>
        <w:rPr>
          <w:sz w:val="18"/>
          <w:szCs w:val="18"/>
          <w:rtl/>
          <w:lang w:bidi="ar-EG"/>
        </w:rPr>
        <w:t xml:space="preserve"> الصرف </w:t>
      </w:r>
    </w:p>
    <w:p w:rsidR="00361DA1" w:rsidRPr="00426F7E" w:rsidRDefault="00361DA1" w:rsidP="00F50111">
      <w:pPr>
        <w:jc w:val="center"/>
        <w:rPr>
          <w:sz w:val="18"/>
          <w:szCs w:val="18"/>
        </w:rPr>
      </w:pPr>
      <w:r w:rsidRPr="00426F7E">
        <w:rPr>
          <w:sz w:val="18"/>
          <w:szCs w:val="18"/>
          <w:rtl/>
        </w:rPr>
        <w:t xml:space="preserve">إعداد / </w:t>
      </w:r>
      <w:proofErr w:type="spellStart"/>
      <w:r w:rsidR="00F50111" w:rsidRPr="00F50111">
        <w:rPr>
          <w:rFonts w:hint="cs"/>
          <w:i/>
          <w:iCs/>
          <w:sz w:val="18"/>
          <w:szCs w:val="18"/>
          <w:rtl/>
        </w:rPr>
        <w:t>ميريهان</w:t>
      </w:r>
      <w:proofErr w:type="spellEnd"/>
      <w:r w:rsidR="00F50111" w:rsidRPr="00F50111">
        <w:rPr>
          <w:rFonts w:hint="cs"/>
          <w:i/>
          <w:iCs/>
          <w:sz w:val="18"/>
          <w:szCs w:val="18"/>
          <w:rtl/>
        </w:rPr>
        <w:t xml:space="preserve"> مجدي محمود</w:t>
      </w:r>
    </w:p>
    <w:p w:rsidR="00361DA1" w:rsidRPr="00426F7E" w:rsidRDefault="00361DA1" w:rsidP="005D5466">
      <w:pPr>
        <w:jc w:val="center"/>
        <w:rPr>
          <w:sz w:val="18"/>
          <w:szCs w:val="18"/>
        </w:rPr>
      </w:pPr>
      <w:r w:rsidRPr="00426F7E">
        <w:rPr>
          <w:sz w:val="18"/>
          <w:szCs w:val="18"/>
          <w:rtl/>
        </w:rPr>
        <w:t>قسم الدعوة وأصول الدين</w:t>
      </w:r>
    </w:p>
    <w:p w:rsidR="00361DA1" w:rsidRPr="00426F7E" w:rsidRDefault="00361DA1" w:rsidP="005D5466">
      <w:pPr>
        <w:jc w:val="center"/>
        <w:rPr>
          <w:sz w:val="18"/>
          <w:szCs w:val="18"/>
        </w:rPr>
      </w:pPr>
      <w:r w:rsidRPr="00426F7E">
        <w:rPr>
          <w:sz w:val="18"/>
          <w:szCs w:val="18"/>
          <w:rtl/>
        </w:rPr>
        <w:t>كلية العلوم الإسلامية – جامعة المدينة العالمية</w:t>
      </w:r>
    </w:p>
    <w:p w:rsidR="00361DA1" w:rsidRPr="00426F7E" w:rsidRDefault="00361DA1" w:rsidP="005D5466">
      <w:pPr>
        <w:jc w:val="center"/>
        <w:rPr>
          <w:sz w:val="18"/>
          <w:szCs w:val="18"/>
        </w:rPr>
      </w:pPr>
      <w:r w:rsidRPr="00426F7E">
        <w:rPr>
          <w:sz w:val="18"/>
          <w:szCs w:val="18"/>
          <w:rtl/>
        </w:rPr>
        <w:t>شاه علم - ماليزيا</w:t>
      </w:r>
    </w:p>
    <w:p w:rsidR="00361DA1" w:rsidRDefault="00F50111" w:rsidP="00F50111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F50111">
        <w:rPr>
          <w:b/>
          <w:bCs/>
          <w:i/>
          <w:iCs/>
          <w:sz w:val="18"/>
          <w:szCs w:val="18"/>
          <w:lang w:bidi="ar-EG"/>
        </w:rPr>
        <w:t>mirihan@mediu.ws</w:t>
      </w:r>
    </w:p>
    <w:p w:rsidR="00361DA1" w:rsidRPr="00426F7E" w:rsidRDefault="00361DA1" w:rsidP="005D5466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361DA1" w:rsidRDefault="00361DA1" w:rsidP="005D5466">
      <w:pPr>
        <w:jc w:val="center"/>
        <w:rPr>
          <w:b/>
          <w:bCs/>
          <w:sz w:val="18"/>
          <w:szCs w:val="18"/>
          <w:rtl/>
        </w:rPr>
        <w:sectPr w:rsidR="00361DA1" w:rsidSect="005D5466">
          <w:pgSz w:w="11906" w:h="16838"/>
          <w:pgMar w:top="1440" w:right="424" w:bottom="284" w:left="851" w:header="708" w:footer="708" w:gutter="0"/>
          <w:cols w:space="708"/>
          <w:bidi/>
          <w:rtlGutter/>
          <w:docGrid w:linePitch="360"/>
        </w:sectPr>
      </w:pPr>
    </w:p>
    <w:p w:rsidR="00361DA1" w:rsidRPr="005D5466" w:rsidRDefault="00361DA1" w:rsidP="001D03B2">
      <w:pPr>
        <w:bidi/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lastRenderedPageBreak/>
        <w:t xml:space="preserve">الخلاصة: </w:t>
      </w:r>
      <w:r w:rsidRPr="005D5466">
        <w:rPr>
          <w:b/>
          <w:bCs/>
          <w:sz w:val="18"/>
          <w:szCs w:val="18"/>
          <w:rtl/>
        </w:rPr>
        <w:t xml:space="preserve">هذا البحث يبحث </w:t>
      </w:r>
      <w:proofErr w:type="spellStart"/>
      <w:r w:rsidRPr="005D5466">
        <w:rPr>
          <w:b/>
          <w:bCs/>
          <w:sz w:val="18"/>
          <w:szCs w:val="18"/>
          <w:rtl/>
        </w:rPr>
        <w:t>فى</w:t>
      </w:r>
      <w:proofErr w:type="spellEnd"/>
      <w:r w:rsidRPr="005D5466">
        <w:rPr>
          <w:b/>
          <w:bCs/>
          <w:sz w:val="18"/>
          <w:szCs w:val="18"/>
          <w:rtl/>
        </w:rPr>
        <w:t xml:space="preserve"> ما جاء وصفًا للمرأة دون أن تلحقه علامة التأنيث ودلّ على النسب</w:t>
      </w:r>
    </w:p>
    <w:p w:rsidR="00361DA1" w:rsidRPr="005D5466" w:rsidRDefault="00361DA1" w:rsidP="005D5466">
      <w:pPr>
        <w:jc w:val="right"/>
        <w:rPr>
          <w:b/>
          <w:bCs/>
          <w:sz w:val="18"/>
          <w:szCs w:val="18"/>
          <w:rtl/>
        </w:rPr>
      </w:pPr>
    </w:p>
    <w:p w:rsidR="00361DA1" w:rsidRPr="005D5466" w:rsidRDefault="00361DA1" w:rsidP="001D03B2">
      <w:pPr>
        <w:bidi/>
        <w:jc w:val="lowKashida"/>
        <w:rPr>
          <w:b/>
          <w:bCs/>
          <w:sz w:val="18"/>
          <w:szCs w:val="18"/>
          <w:rtl/>
        </w:rPr>
      </w:pPr>
      <w:r w:rsidRPr="005D5466">
        <w:rPr>
          <w:b/>
          <w:bCs/>
          <w:sz w:val="18"/>
          <w:szCs w:val="18"/>
          <w:rtl/>
        </w:rPr>
        <w:t xml:space="preserve">الكلمات </w:t>
      </w:r>
      <w:r>
        <w:rPr>
          <w:b/>
          <w:bCs/>
          <w:sz w:val="18"/>
          <w:szCs w:val="18"/>
          <w:rtl/>
        </w:rPr>
        <w:t>الافتتاحية: وصفا، تلحقه،مذكرا</w:t>
      </w:r>
    </w:p>
    <w:p w:rsidR="00361DA1" w:rsidRPr="005D5466" w:rsidRDefault="00361DA1" w:rsidP="005D5466">
      <w:pPr>
        <w:numPr>
          <w:ilvl w:val="0"/>
          <w:numId w:val="2"/>
        </w:numPr>
        <w:bidi/>
        <w:spacing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5D5466">
        <w:rPr>
          <w:b/>
          <w:bCs/>
          <w:sz w:val="18"/>
          <w:szCs w:val="18"/>
          <w:rtl/>
        </w:rPr>
        <w:t>.المقدمة</w:t>
      </w:r>
    </w:p>
    <w:p w:rsidR="00361DA1" w:rsidRPr="005D5466" w:rsidRDefault="00361DA1" w:rsidP="001D03B2">
      <w:pPr>
        <w:bidi/>
        <w:jc w:val="lowKashida"/>
        <w:rPr>
          <w:b/>
          <w:bCs/>
          <w:sz w:val="18"/>
          <w:szCs w:val="18"/>
        </w:rPr>
      </w:pPr>
      <w:r w:rsidRPr="005D5466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ما جاء وصفًا للمرأة دون أن تلحقه علامة التأنيث ودلّ على النسب</w:t>
      </w:r>
    </w:p>
    <w:p w:rsidR="00361DA1" w:rsidRPr="005D5466" w:rsidRDefault="00361DA1" w:rsidP="005D5466">
      <w:pPr>
        <w:jc w:val="right"/>
        <w:rPr>
          <w:b/>
          <w:bCs/>
          <w:sz w:val="18"/>
          <w:szCs w:val="18"/>
          <w:rtl/>
          <w:lang w:bidi="ar-EG"/>
        </w:rPr>
      </w:pPr>
    </w:p>
    <w:p w:rsidR="00361DA1" w:rsidRPr="005D5466" w:rsidRDefault="00361DA1" w:rsidP="005D5466">
      <w:pPr>
        <w:numPr>
          <w:ilvl w:val="0"/>
          <w:numId w:val="3"/>
        </w:numPr>
        <w:bidi/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5D5466">
        <w:rPr>
          <w:b/>
          <w:bCs/>
          <w:sz w:val="18"/>
          <w:szCs w:val="18"/>
          <w:rtl/>
        </w:rPr>
        <w:t>.عنوان المقال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يقول سيبويه:</w:t>
      </w:r>
    </w:p>
    <w:p w:rsidR="00361DA1" w:rsidRPr="002E2AB4" w:rsidRDefault="00361DA1" w:rsidP="001D03B2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"هذا باب ما يكون مذكرًا يوصف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المؤنث" ويقصد سيبوبه من ذلك أنه خالٍٍ من علامة التأنيث، وذلك قولك: امرأة حائض، ولم نقل: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حائضة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؛ لأن هذا لفظ خاص بالنساء، فليس في حاجة إلى علامة تأنيث, وهذه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طامث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كما قالوا: ناقة ضامر، يُوصف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المؤنث والمذكر، لكن "حائض" و"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طامث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" لا يدخلان في صفة المذكر؛ لأن هذه الأشياء خاصة بالنساء، فالرجل لا يصيبه الحيض ولا الطمث.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أما ضامر, وضامر البطن: من ليس له كِرشٌ كبير ولا بطن منتفخ، وإنما بطنه ضامر, أي: ملفوف؛ فإنما الحائض وأشباهه في كلامهم على أنه صفة لشيء، والشيء مذكر, فحينما قالوا: امرأة حائض أي: شيء حائض، وإن كانت امرأة إلَّا أن الشيء </w:t>
      </w:r>
      <w:r w:rsidRPr="005D5466">
        <w:rPr>
          <w:rFonts w:cs="Traditional Arabic"/>
          <w:b/>
          <w:bCs/>
          <w:sz w:val="18"/>
          <w:szCs w:val="18"/>
          <w:rtl/>
        </w:rPr>
        <w:t>-</w:t>
      </w:r>
      <w:r w:rsidRPr="002E2AB4">
        <w:rPr>
          <w:rFonts w:cs="Times New Roman"/>
          <w:b/>
          <w:bCs/>
          <w:sz w:val="18"/>
          <w:szCs w:val="18"/>
          <w:rtl/>
        </w:rPr>
        <w:t>كما يقول سيبويه</w:t>
      </w:r>
      <w:r w:rsidRPr="005D5466">
        <w:rPr>
          <w:rFonts w:cs="Traditional Arabic"/>
          <w:b/>
          <w:bCs/>
          <w:sz w:val="18"/>
          <w:szCs w:val="18"/>
          <w:rtl/>
        </w:rPr>
        <w:t>-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مذكر؛ لذا جاء وصفه مذكرًا، فكأنهم قالوا: هذا شيء حائض، ثم وصفوا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المؤنث كما وصفوا المذكرَ بالمؤنث.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وصفوا المؤنث بلفظ ليس فيه علامة تأنيث، كما وصفوا المذكر بلفظ فيه علامة التأنيث، أعطَوا هذا لهذا، وأعطوا هذا لهذا، فقالوا: رجل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نكحة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, أي: كثير النكاح، فزعم الخليل أنهم إذا قالوا: حائض؛ لم يخرجه عن الفعل، كما أنه حين قال: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دارع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لم يخرجه على "فَاعَل" وكأنه قال: دِرعي، فإنما أرادوا ذاتَ حيض، ولم يجئ على الفعل؛ لأنه لو جاء على الفعل لقالوا: امرأة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حائضة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إذًا: لدينا "فَعِل" وانتهينا منه، ولدينا أوصاف خالية من علامة التأنيث وُصفت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النساء, فهذا كله أوصافٌ اختُصت بالنساء؛ لذا لم يكن هناك خوفٌ من الالتباس أو الإلباس، وخَلَت هذه الألفاظ من علامة التأنيث، وإن جاءت بعلامة التأنيث في وصف المذكر في قولهم: رجل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نكحة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، ورجل أكلة، ورجل نسَّابة، وعلَّامة، وفهَّامة؛ كل هذا بعلامة التأنيث في وصف الرجل.</w:t>
      </w:r>
    </w:p>
    <w:p w:rsidR="00361DA1" w:rsidRPr="002E2AB4" w:rsidRDefault="00361DA1" w:rsidP="005D5466">
      <w:pPr>
        <w:pStyle w:val="a3"/>
        <w:bidi/>
        <w:spacing w:after="120"/>
        <w:ind w:left="0" w:right="0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وكذلك قولهم: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؛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فمرضع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من أوصاف النساء وخلا من التأنيث، وليس هناك لبس,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: إذا أراد ذات الرضاعة، ولم يُجْرِها على أرضعت ولا ترضع، امرأة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؛ كقوله تعالى: </w:t>
      </w:r>
      <w:r w:rsidRPr="005D5466">
        <w:rPr>
          <w:rFonts w:cs="DecoType Thuluth"/>
          <w:b/>
          <w:bCs/>
          <w:sz w:val="18"/>
          <w:szCs w:val="18"/>
          <w:rtl/>
        </w:rPr>
        <w:t>{</w:t>
      </w:r>
      <w:r w:rsidRPr="005D5466">
        <w:rPr>
          <w:rFonts w:ascii="QCF_P332" w:hAnsi="QCF_P332" w:cs="QCF_P332"/>
          <w:b/>
          <w:bCs/>
          <w:sz w:val="18"/>
          <w:szCs w:val="18"/>
          <w:rtl/>
        </w:rPr>
        <w:t>ﭑ ﭒ ﭓ ﭔ ﭕ ﭖ ﭗ ﭘ ﭙ ﭚ ﭛﭜ ﭝ ﭞ ﭟ ﭠ ﭡ ﭢ</w:t>
      </w:r>
      <w:r w:rsidRPr="005D5466">
        <w:rPr>
          <w:rFonts w:cs="DecoType Thuluth"/>
          <w:b/>
          <w:bCs/>
          <w:sz w:val="18"/>
          <w:szCs w:val="18"/>
          <w:rtl/>
        </w:rPr>
        <w:t>}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[الحج: 1، 2] فهنا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وهناك في الآية: </w:t>
      </w:r>
      <w:r w:rsidRPr="005D5466">
        <w:rPr>
          <w:rFonts w:cs="DecoType Thuluth"/>
          <w:b/>
          <w:bCs/>
          <w:sz w:val="18"/>
          <w:szCs w:val="18"/>
          <w:rtl/>
        </w:rPr>
        <w:t>{</w:t>
      </w:r>
      <w:r w:rsidRPr="002E2AB4">
        <w:rPr>
          <w:rFonts w:cs="Times New Roman"/>
          <w:b/>
          <w:bCs/>
          <w:sz w:val="18"/>
          <w:szCs w:val="18"/>
          <w:rtl/>
        </w:rPr>
        <w:t>مُرْضِعَةٍ</w:t>
      </w:r>
      <w:r w:rsidRPr="005D5466">
        <w:rPr>
          <w:rFonts w:cs="DecoType Thuluth"/>
          <w:b/>
          <w:bCs/>
          <w:sz w:val="18"/>
          <w:szCs w:val="18"/>
          <w:rtl/>
        </w:rPr>
        <w:t>}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فما الفرق بينهما إذًا؟ لماذا قال في القرآن: </w:t>
      </w:r>
      <w:r w:rsidRPr="005D5466">
        <w:rPr>
          <w:rFonts w:cs="DecoType Thuluth"/>
          <w:b/>
          <w:bCs/>
          <w:sz w:val="18"/>
          <w:szCs w:val="18"/>
          <w:rtl/>
        </w:rPr>
        <w:t>{</w:t>
      </w:r>
      <w:r w:rsidRPr="005D5466">
        <w:rPr>
          <w:rFonts w:ascii="QCF_P332" w:hAnsi="QCF_P332" w:cs="QCF_P332"/>
          <w:b/>
          <w:bCs/>
          <w:sz w:val="18"/>
          <w:szCs w:val="18"/>
          <w:rtl/>
        </w:rPr>
        <w:t>ﭞ ﭟ ﭠ ﭡ ﭢ</w:t>
      </w:r>
      <w:r w:rsidRPr="005D5466">
        <w:rPr>
          <w:rFonts w:cs="DecoType Thuluth"/>
          <w:b/>
          <w:bCs/>
          <w:sz w:val="18"/>
          <w:szCs w:val="18"/>
          <w:rtl/>
        </w:rPr>
        <w:t>}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ونقول هنا: امرأة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؟</w:t>
      </w:r>
    </w:p>
    <w:p w:rsidR="00361DA1" w:rsidRPr="002E2AB4" w:rsidRDefault="00361DA1" w:rsidP="005D5466">
      <w:pPr>
        <w:pStyle w:val="a3"/>
        <w:bidi/>
        <w:spacing w:after="120"/>
        <w:ind w:left="0" w:right="0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بدون التاء هي امرأة ذات رضاع، أي: عندها لبنٌ ترضع ابنَها أو ترضع غيرَه؛ أما في </w:t>
      </w:r>
      <w:r w:rsidRPr="005D5466">
        <w:rPr>
          <w:rFonts w:cs="DecoType Thuluth"/>
          <w:b/>
          <w:bCs/>
          <w:sz w:val="18"/>
          <w:szCs w:val="18"/>
          <w:rtl/>
        </w:rPr>
        <w:t>{</w:t>
      </w:r>
      <w:r w:rsidRPr="005D5466">
        <w:rPr>
          <w:rFonts w:ascii="QCF_P332" w:hAnsi="QCF_P332" w:cs="QCF_P332"/>
          <w:b/>
          <w:bCs/>
          <w:sz w:val="18"/>
          <w:szCs w:val="18"/>
          <w:rtl/>
        </w:rPr>
        <w:t>ﭠ</w:t>
      </w:r>
      <w:r w:rsidRPr="005D5466">
        <w:rPr>
          <w:rFonts w:cs="DecoType Thuluth"/>
          <w:b/>
          <w:bCs/>
          <w:sz w:val="18"/>
          <w:szCs w:val="18"/>
          <w:rtl/>
        </w:rPr>
        <w:t>}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أي: التي قامت الساعة وهي في حالة إرضاعٍ لطفلها، فتذهل عنه، والمرأة لا تذهل عن طفلها بسهولة وخاصة في حالة الرضاعة، إلا إذا كان الأمر عظيمًا وفوق الطاقة والاحتمال؛ إذ قال: </w:t>
      </w:r>
      <w:r w:rsidRPr="005D5466">
        <w:rPr>
          <w:rFonts w:cs="DecoType Thuluth"/>
          <w:b/>
          <w:bCs/>
          <w:sz w:val="18"/>
          <w:szCs w:val="18"/>
          <w:rtl/>
        </w:rPr>
        <w:t>{</w:t>
      </w:r>
      <w:r w:rsidRPr="005D5466">
        <w:rPr>
          <w:rFonts w:ascii="QCF_P332" w:hAnsi="QCF_P332" w:cs="QCF_P332"/>
          <w:b/>
          <w:bCs/>
          <w:sz w:val="18"/>
          <w:szCs w:val="18"/>
          <w:rtl/>
        </w:rPr>
        <w:t>ﭜ ﭝ ﭞ ﭟ ﭠ ﭡ ﭢ ﭣ ﭤ ﭥ ﭦ ﭧ</w:t>
      </w:r>
      <w:r w:rsidRPr="005D5466">
        <w:rPr>
          <w:rFonts w:cs="DecoType Thuluth"/>
          <w:b/>
          <w:bCs/>
          <w:sz w:val="18"/>
          <w:szCs w:val="18"/>
          <w:rtl/>
        </w:rPr>
        <w:t>}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[الحج: 2] من فظاعة وهول الموقف تسقط الحامل حملها،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والمرضع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تترك ابنها وتنحِّيه جانبًا؛ بل ولا تسأل عنه صارخًا أو غير صارخ، وهذا في حالة استحضار موقف الساعة.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ولذلك يقول سيبويه: "وكذلك قولهم: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إذا أراد ذات رضاعٍ، ولم يُجْرِها على أرضعت أو ترضع"، أي: لم يجرها على أنها في هذا اللفظ حالة الرضاعة؛ هي في ثدييها اللبن قابل للإرضاع، ولكنها ليست في حالة رضاع، فإذا أراد ذلك قال: مرضعة، فمرضعة هنا هي التي في حالة إرضاع، أمسكت بثديها وأعطته لابنها، ترضعه بحنان وشفقة ورحمة؛ لا أنها جَرَّت لبنًا يرضعه فقط؛ مرضعة إذًا في حالة الرضاع.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lastRenderedPageBreak/>
        <w:t xml:space="preserve">وتقول: هي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حائضة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غدًا لا يكون إلا ذلك، على عكس مرضعة في حالة الرضاع،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حائضة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: ليست في حالة الحيض، وإنما مَعَادُ حيضها غدًا؛ يقول سيبويه: "لا يكون إلا ذلك" أي: إنها ليست في حالة حيض، وإنما هي تنتظر الحيض غدًا؛ لأنك إنما أجريتها على الفعل, هي تحيض غدًا.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إذًا: هنا 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مُفْعِل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" -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ومرضعة- و"فاعِل" -حائض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وحائضة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- كل ذلك مما دل على النسب، جرى على الفعل في مرضعة أم لم يجر في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, وجرى على الفعل في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حائضة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أم لم يجر في حائض، فهذا كله فيه دلالةٌ على النسب. هذا وجهُ ما لم يُجر على فعله فيما زعم الخليل، مما ذكرناه في هذا الباب.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يقول سيبويه: وزعم الخليل أن "فَعُولًا" و"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مِفْعَالًا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" و"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مِفْعَلًا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"" نحو: قَوُول كثير القول في "فَعُول",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ومِقوال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مِفْعَال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" إنما يكون في تكثير الشيء وتشديده والمبالغة فيه -لا في النسب، وإنما وقع في كلامهم على أنه مذكر.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وزعم الخليل أنهم في هذه الأشياء كأنهم يقولون: قَوْلي وضَرْبي، ينسبون بهذه المبالغات كلّها هذا الشيء.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ويُستدلّ على ذلك </w:t>
      </w:r>
      <w:r w:rsidRPr="005D5466">
        <w:rPr>
          <w:rFonts w:cs="Traditional Arabic"/>
          <w:b/>
          <w:bCs/>
          <w:sz w:val="18"/>
          <w:szCs w:val="18"/>
          <w:rtl/>
        </w:rPr>
        <w:t>-</w:t>
      </w:r>
      <w:r w:rsidRPr="002E2AB4">
        <w:rPr>
          <w:rFonts w:cs="Times New Roman"/>
          <w:b/>
          <w:bCs/>
          <w:sz w:val="18"/>
          <w:szCs w:val="18"/>
          <w:rtl/>
        </w:rPr>
        <w:t>كما يقول سيبويه</w:t>
      </w:r>
      <w:r w:rsidRPr="005D5466">
        <w:rPr>
          <w:rFonts w:cs="Traditional Arabic"/>
          <w:b/>
          <w:bCs/>
          <w:sz w:val="18"/>
          <w:szCs w:val="18"/>
          <w:rtl/>
        </w:rPr>
        <w:t>-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بقولهم: رجلٌ عمِل، وطعِم، ولبِس؛ أي: كثير العمل، وكثير الطعام، وكثير اللبس، كمعنى قَوول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ومِقوال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في المبالغة؛ إلا أن الهاء تدخل في "فَعِل" في التأنيث.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إذًا: حينما نقول: رجل لَسِن، نقول : امرأة لسنة: طويلة اللسان، وامرأة عمِلة: كثيرة العمل؛ لذلك يقول سيبويه: "إن هذه الألفاظ لا تبقى على التذكير"، إنما إذا وصفنا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مؤنثًا ألحقنا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الهاء، وإذا وصفنا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مذكرًا جردناها من الهاء، فنقول: رجل عمِل ولسِن ولبِس، وامرأة عمِلة ولسِنة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ولبِسة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؛ ولذلك قال سيبويه: "الهاء تدخل في "فَعِل" في التأنيث".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وقالوا: نَهِر، وإنما يريدون: نَهَري، فيجعلونه بمنزلة عمِل، وفيه ذلك المعنى: نَهِر, أي: إنه يعمل بالنهار, قال الشاعر:</w:t>
      </w:r>
    </w:p>
    <w:tbl>
      <w:tblPr>
        <w:bidiVisual/>
        <w:tblW w:w="0" w:type="auto"/>
        <w:jc w:val="center"/>
        <w:tblLook w:val="01E0"/>
      </w:tblPr>
      <w:tblGrid>
        <w:gridCol w:w="2288"/>
        <w:gridCol w:w="605"/>
        <w:gridCol w:w="2284"/>
      </w:tblGrid>
      <w:tr w:rsidR="00361DA1" w:rsidRPr="005D5466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361DA1" w:rsidRPr="005D5466" w:rsidRDefault="00361DA1" w:rsidP="005D5466">
            <w:pPr>
              <w:bidi/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لست بليلي ولكني نهر</w:t>
            </w:r>
            <w:r w:rsidRPr="005D5466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361DA1" w:rsidRPr="002E2AB4" w:rsidRDefault="00361DA1" w:rsidP="005D5466">
            <w:pPr>
              <w:bidi/>
              <w:spacing w:after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E2AB4">
              <w:rPr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361DA1" w:rsidRPr="005D5466" w:rsidRDefault="00361DA1" w:rsidP="005D5466">
            <w:pPr>
              <w:bidi/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 xml:space="preserve">لا </w:t>
            </w:r>
            <w:proofErr w:type="spellStart"/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أدلج</w:t>
            </w:r>
            <w:proofErr w:type="spellEnd"/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 xml:space="preserve"> الليل ولكن أبتكر</w:t>
            </w:r>
            <w:r w:rsidRPr="005D5466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هذا كله في "فَعِل".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  <w:rtl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ثم يقول سيبوبه: وقالوا: رجل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حَرِح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ورجل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سَتِه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، كأنه قال: حِري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واسْتي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، فإذا نسبنا قلنا: حِري وحذفنا الحاء مع أنها ليست حرف علة، وليست من حروف الزيادة، لكنهم أرادوا التخفيف، فقولهم: حري أخف من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حريحي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،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وسته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: قلنا: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استي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أعدنا همزة الوصل، ونسبنا إليه.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 xml:space="preserve">وسألته </w:t>
      </w:r>
      <w:r w:rsidRPr="005D5466">
        <w:rPr>
          <w:rFonts w:cs="Traditional Arabic"/>
          <w:b/>
          <w:bCs/>
          <w:sz w:val="18"/>
          <w:szCs w:val="18"/>
          <w:rtl/>
        </w:rPr>
        <w:t>-</w:t>
      </w:r>
      <w:r w:rsidRPr="002E2AB4">
        <w:rPr>
          <w:rFonts w:cs="Times New Roman"/>
          <w:b/>
          <w:bCs/>
          <w:sz w:val="18"/>
          <w:szCs w:val="18"/>
          <w:rtl/>
        </w:rPr>
        <w:t>أي: الخليل</w:t>
      </w:r>
      <w:r w:rsidRPr="005D5466">
        <w:rPr>
          <w:rFonts w:cs="Traditional Arabic"/>
          <w:b/>
          <w:bCs/>
          <w:sz w:val="18"/>
          <w:szCs w:val="18"/>
          <w:rtl/>
        </w:rPr>
        <w:t>-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عن قولهم: مَوت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مائت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، وشُغْل شاغل، وشِعر شاعِر، وصفنا الشيء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بـ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"فاعِلٍ" شعر شاعر، موت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مائت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، فقال: إنما يريدون المبالغة والإجادة؛ وهو بمنزلة قولهم: هَمّ ناصب، أي: شديد، و</w:t>
      </w:r>
      <w:r w:rsidRPr="005D5466">
        <w:rPr>
          <w:rFonts w:cs="DecoType Thuluth"/>
          <w:b/>
          <w:bCs/>
          <w:sz w:val="18"/>
          <w:szCs w:val="18"/>
          <w:rtl/>
        </w:rPr>
        <w:t>{</w:t>
      </w:r>
      <w:r w:rsidRPr="005D5466">
        <w:rPr>
          <w:rFonts w:ascii="QCF_P567" w:hAnsi="QCF_P567" w:cs="QCF_P567"/>
          <w:b/>
          <w:bCs/>
          <w:sz w:val="18"/>
          <w:szCs w:val="18"/>
          <w:rtl/>
        </w:rPr>
        <w:t>ﮪ ﮫ</w:t>
      </w:r>
      <w:r w:rsidRPr="005D5466">
        <w:rPr>
          <w:rFonts w:cs="DecoType Thuluth"/>
          <w:b/>
          <w:bCs/>
          <w:sz w:val="18"/>
          <w:szCs w:val="18"/>
          <w:rtl/>
        </w:rPr>
        <w:t>}</w:t>
      </w:r>
      <w:r w:rsidRPr="002E2AB4">
        <w:rPr>
          <w:rFonts w:cs="Times New Roman"/>
          <w:b/>
          <w:bCs/>
          <w:sz w:val="18"/>
          <w:szCs w:val="18"/>
          <w:rtl/>
        </w:rPr>
        <w:t xml:space="preserve"> [الحاقة: 21] أي: مرضية، راضية في كل هذا.</w:t>
      </w:r>
    </w:p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ومنه قول الشاعر:</w:t>
      </w:r>
    </w:p>
    <w:tbl>
      <w:tblPr>
        <w:bidiVisual/>
        <w:tblW w:w="0" w:type="auto"/>
        <w:jc w:val="center"/>
        <w:tblLook w:val="01E0"/>
      </w:tblPr>
      <w:tblGrid>
        <w:gridCol w:w="2273"/>
        <w:gridCol w:w="600"/>
        <w:gridCol w:w="2304"/>
      </w:tblGrid>
      <w:tr w:rsidR="00361DA1" w:rsidRPr="005D5466">
        <w:trPr>
          <w:trHeight w:hRule="exact" w:val="510"/>
          <w:jc w:val="center"/>
        </w:trPr>
        <w:tc>
          <w:tcPr>
            <w:tcW w:w="2909" w:type="dxa"/>
            <w:vAlign w:val="center"/>
          </w:tcPr>
          <w:p w:rsidR="00361DA1" w:rsidRPr="005D5466" w:rsidRDefault="00361DA1" w:rsidP="005D5466">
            <w:pPr>
              <w:bidi/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 xml:space="preserve">كليني لهمّ يا </w:t>
            </w:r>
            <w:proofErr w:type="spellStart"/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أميمة</w:t>
            </w:r>
            <w:proofErr w:type="spellEnd"/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 xml:space="preserve"> ناصب</w:t>
            </w:r>
            <w:r w:rsidRPr="005D5466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709" w:type="dxa"/>
            <w:vAlign w:val="center"/>
          </w:tcPr>
          <w:p w:rsidR="00361DA1" w:rsidRPr="002E2AB4" w:rsidRDefault="00361DA1" w:rsidP="005D5466">
            <w:pPr>
              <w:bidi/>
              <w:spacing w:after="12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2E2AB4">
              <w:rPr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2909" w:type="dxa"/>
            <w:vAlign w:val="center"/>
          </w:tcPr>
          <w:p w:rsidR="00361DA1" w:rsidRPr="005D5466" w:rsidRDefault="00361DA1" w:rsidP="005D5466">
            <w:pPr>
              <w:bidi/>
              <w:spacing w:after="120"/>
              <w:jc w:val="both"/>
              <w:rPr>
                <w:rFonts w:cs="AGA Furat Regular"/>
                <w:b/>
                <w:bCs/>
                <w:sz w:val="18"/>
                <w:szCs w:val="18"/>
              </w:rPr>
            </w:pPr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 xml:space="preserve">وليل </w:t>
            </w:r>
            <w:proofErr w:type="spellStart"/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>أقاسيه</w:t>
            </w:r>
            <w:proofErr w:type="spellEnd"/>
            <w:r w:rsidRPr="005D5466">
              <w:rPr>
                <w:rFonts w:ascii="Arial" w:hAnsi="Arial" w:cs="AGA Furat Regular"/>
                <w:b/>
                <w:bCs/>
                <w:sz w:val="18"/>
                <w:szCs w:val="18"/>
                <w:rtl/>
                <w:lang w:eastAsia="en-MY"/>
              </w:rPr>
              <w:t xml:space="preserve"> بطيء الكواكب</w:t>
            </w:r>
            <w:r w:rsidRPr="005D5466">
              <w:rPr>
                <w:rFonts w:cs="AGA Furat Regular"/>
                <w:b/>
                <w:bCs/>
                <w:sz w:val="18"/>
                <w:szCs w:val="18"/>
                <w:rtl/>
              </w:rPr>
              <w:br/>
            </w:r>
          </w:p>
        </w:tc>
      </w:tr>
    </w:tbl>
    <w:p w:rsidR="00361DA1" w:rsidRPr="002E2AB4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</w:rPr>
      </w:pPr>
      <w:r w:rsidRPr="002E2AB4">
        <w:rPr>
          <w:rFonts w:cs="Times New Roman"/>
          <w:b/>
          <w:bCs/>
          <w:sz w:val="18"/>
          <w:szCs w:val="18"/>
          <w:rtl/>
        </w:rPr>
        <w:t>يقول سيبويه: "فهذا وجه ما كان من الفعل، ولم يجر على فعله"؛ وهذا قول الخليل: يمتنع من الهاء في التأنيث في "فَعُول", وقد جاءت في شيء منه، وقال: 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مِفْعَال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" و"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مِفْعِيل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" قَلَّمَا جاءت الهاء فيه؛ أي: تاء التأنيث, 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مِفْعَال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" نحو: امرأة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مِعطار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أي: كثيرة العطر،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ومِعْطير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أي: كثيرة العطر أيضًا، فهذا تمتنع فيه الهاء، فلا تقول: امرأة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مِعطيرة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ولا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مِعطارة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. </w:t>
      </w:r>
    </w:p>
    <w:p w:rsidR="00361DA1" w:rsidRDefault="00361DA1" w:rsidP="005D5466">
      <w:pPr>
        <w:pStyle w:val="a3"/>
        <w:bidi/>
        <w:spacing w:after="120"/>
        <w:ind w:left="0" w:right="0"/>
        <w:jc w:val="lowKashida"/>
        <w:rPr>
          <w:rFonts w:cs="Times New Roman"/>
          <w:b/>
          <w:bCs/>
          <w:sz w:val="18"/>
          <w:szCs w:val="18"/>
          <w:rtl/>
        </w:rPr>
      </w:pPr>
      <w:r w:rsidRPr="002E2AB4">
        <w:rPr>
          <w:rFonts w:cs="Times New Roman"/>
          <w:b/>
          <w:bCs/>
          <w:sz w:val="18"/>
          <w:szCs w:val="18"/>
          <w:rtl/>
        </w:rPr>
        <w:t>أما 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" فقد جاءت فيه تاء التأنيث كثيرة، وذلك في كلام العرب، كما قال: مِطْعَن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ومِدعث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، وامرأة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مطعنة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وامرأة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مدعثة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، ويقال: مِصكّ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ومِصكّة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، ونحو ذلك؛ فـ"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>" تكثر فيه التاء و"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مِفعال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" تقل فيه التاء،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ومرضع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كما في "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مِفْعَل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" إنْ ألحقتَ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التاء فهي في حالة الرضاع، وإن لم تلحق </w:t>
      </w:r>
      <w:proofErr w:type="spellStart"/>
      <w:r w:rsidRPr="002E2AB4">
        <w:rPr>
          <w:rFonts w:cs="Times New Roman"/>
          <w:b/>
          <w:bCs/>
          <w:sz w:val="18"/>
          <w:szCs w:val="18"/>
          <w:rtl/>
        </w:rPr>
        <w:t>بها</w:t>
      </w:r>
      <w:proofErr w:type="spellEnd"/>
      <w:r w:rsidRPr="002E2AB4">
        <w:rPr>
          <w:rFonts w:cs="Times New Roman"/>
          <w:b/>
          <w:bCs/>
          <w:sz w:val="18"/>
          <w:szCs w:val="18"/>
          <w:rtl/>
        </w:rPr>
        <w:t xml:space="preserve"> التاء فهي قابلة للإرضاع، لا ترضع. هذا ما قاله سيبويه.</w:t>
      </w:r>
    </w:p>
    <w:p w:rsidR="00361DA1" w:rsidRDefault="00361DA1" w:rsidP="00A20F51">
      <w:pPr>
        <w:jc w:val="center"/>
        <w:rPr>
          <w:b/>
          <w:bCs/>
          <w:sz w:val="18"/>
          <w:szCs w:val="18"/>
          <w:rtl/>
          <w:lang w:bidi="ar-EG"/>
        </w:rPr>
      </w:pPr>
      <w:r>
        <w:rPr>
          <w:b/>
          <w:bCs/>
          <w:sz w:val="18"/>
          <w:szCs w:val="18"/>
          <w:lang w:bidi="ar-EG"/>
        </w:rPr>
        <w:br w:type="column"/>
      </w:r>
      <w:r>
        <w:rPr>
          <w:b/>
          <w:bCs/>
          <w:sz w:val="18"/>
          <w:szCs w:val="18"/>
          <w:rtl/>
          <w:lang w:bidi="ar-EG"/>
        </w:rPr>
        <w:lastRenderedPageBreak/>
        <w:t>المراجع والمصادر</w:t>
      </w:r>
    </w:p>
    <w:p w:rsidR="00361DA1" w:rsidRPr="006C09D7" w:rsidRDefault="00361DA1" w:rsidP="00A20F51">
      <w:pPr>
        <w:jc w:val="center"/>
        <w:rPr>
          <w:b/>
          <w:bCs/>
          <w:sz w:val="18"/>
          <w:szCs w:val="18"/>
          <w:rtl/>
          <w:lang w:bidi="ar-EG"/>
        </w:rPr>
      </w:pP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 xml:space="preserve">أبو البركات عبد الرحمن بن محمد بن أبي سعيد </w:t>
      </w:r>
      <w:proofErr w:type="spellStart"/>
      <w:r w:rsidRPr="006C09D7">
        <w:rPr>
          <w:b/>
          <w:bCs/>
          <w:sz w:val="18"/>
          <w:szCs w:val="18"/>
          <w:rtl/>
        </w:rPr>
        <w:t>الأنباري</w:t>
      </w:r>
      <w:proofErr w:type="spellEnd"/>
      <w:r w:rsidRPr="006C09D7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(الإنصاف في مسائل الخلاف) دمشق، دار الفكر، 1998م.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أحمد حسن كحيل،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(التبيان في تصريف الأسماء) القاهرة، مطبعة السعادة، 1978م.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 xml:space="preserve">عبد الحميد </w:t>
      </w:r>
      <w:proofErr w:type="spellStart"/>
      <w:r w:rsidRPr="006C09D7">
        <w:rPr>
          <w:b/>
          <w:bCs/>
          <w:sz w:val="18"/>
          <w:szCs w:val="18"/>
          <w:rtl/>
        </w:rPr>
        <w:t>عنتر</w:t>
      </w:r>
      <w:proofErr w:type="spellEnd"/>
      <w:r w:rsidRPr="006C09D7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(تصريف الأفعال) طبعة الجامعة الإسلامية، 1409هـ.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</w:rPr>
      </w:pPr>
      <w:r w:rsidRPr="006C09D7">
        <w:rPr>
          <w:b/>
          <w:bCs/>
          <w:sz w:val="18"/>
          <w:szCs w:val="18"/>
          <w:rtl/>
        </w:rPr>
        <w:t>عبد العظيم الشناوي،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 xml:space="preserve">(التعريف بفن التصريف) طبعة الجامعة الإسلامية، 1399هـ. 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>أبو الفتح عثمان بن جني،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(الخصائص) تحقيق: محمد علي النجار، دار الكتاب العربي، 1953م.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>محيي الدين عبد الحميد، (دروس التصريف)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بيروت، المكتبة المصرية، 1955م.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(شافية ابن الحاجب بشرح الرضي </w:t>
      </w:r>
      <w:proofErr w:type="spellStart"/>
      <w:r w:rsidRPr="006C09D7">
        <w:rPr>
          <w:b/>
          <w:bCs/>
          <w:sz w:val="18"/>
          <w:szCs w:val="18"/>
          <w:rtl/>
        </w:rPr>
        <w:t>الأستراباذي</w:t>
      </w:r>
      <w:proofErr w:type="spellEnd"/>
      <w:r w:rsidRPr="006C09D7">
        <w:rPr>
          <w:b/>
          <w:bCs/>
          <w:sz w:val="18"/>
          <w:szCs w:val="18"/>
          <w:rtl/>
        </w:rPr>
        <w:t>)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تحقيق: محمد محيي الدين عبد الحميد، دار الكتب العلمية، 1982م.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الشيخ </w:t>
      </w:r>
      <w:proofErr w:type="spellStart"/>
      <w:r w:rsidRPr="006C09D7">
        <w:rPr>
          <w:b/>
          <w:bCs/>
          <w:sz w:val="18"/>
          <w:szCs w:val="18"/>
          <w:rtl/>
        </w:rPr>
        <w:t>الحملاوي</w:t>
      </w:r>
      <w:proofErr w:type="spellEnd"/>
      <w:r w:rsidRPr="006C09D7">
        <w:rPr>
          <w:b/>
          <w:bCs/>
          <w:sz w:val="18"/>
          <w:szCs w:val="18"/>
          <w:rtl/>
        </w:rPr>
        <w:t>، (شذا العرف في فن الصرف)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 xml:space="preserve">شرحه: عبد الحميد </w:t>
      </w:r>
      <w:proofErr w:type="spellStart"/>
      <w:r w:rsidRPr="006C09D7">
        <w:rPr>
          <w:b/>
          <w:bCs/>
          <w:sz w:val="18"/>
          <w:szCs w:val="18"/>
          <w:rtl/>
        </w:rPr>
        <w:t>هنداوي</w:t>
      </w:r>
      <w:proofErr w:type="spellEnd"/>
      <w:r w:rsidRPr="006C09D7">
        <w:rPr>
          <w:b/>
          <w:bCs/>
          <w:sz w:val="18"/>
          <w:szCs w:val="18"/>
          <w:rtl/>
        </w:rPr>
        <w:t>، دار الكتب العلمية، 1419هـ.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ابن </w:t>
      </w:r>
      <w:proofErr w:type="spellStart"/>
      <w:r w:rsidRPr="006C09D7">
        <w:rPr>
          <w:b/>
          <w:bCs/>
          <w:sz w:val="18"/>
          <w:szCs w:val="18"/>
          <w:rtl/>
        </w:rPr>
        <w:t>عقيل</w:t>
      </w:r>
      <w:proofErr w:type="spellEnd"/>
      <w:r w:rsidRPr="006C09D7">
        <w:rPr>
          <w:b/>
          <w:bCs/>
          <w:sz w:val="18"/>
          <w:szCs w:val="18"/>
          <w:rtl/>
        </w:rPr>
        <w:t xml:space="preserve"> </w:t>
      </w:r>
      <w:proofErr w:type="spellStart"/>
      <w:r w:rsidRPr="006C09D7">
        <w:rPr>
          <w:b/>
          <w:bCs/>
          <w:sz w:val="18"/>
          <w:szCs w:val="18"/>
          <w:rtl/>
        </w:rPr>
        <w:t>الهمداني</w:t>
      </w:r>
      <w:proofErr w:type="spellEnd"/>
      <w:r w:rsidRPr="006C09D7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(شرح ألفية ابن مالك) تحقيق: محمد محيي الدين عبد الحميد، مصر، المكتبة التجارية الكبرى، 1964م.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علي بن محمد </w:t>
      </w:r>
      <w:proofErr w:type="spellStart"/>
      <w:r w:rsidRPr="006C09D7">
        <w:rPr>
          <w:b/>
          <w:bCs/>
          <w:sz w:val="18"/>
          <w:szCs w:val="18"/>
          <w:rtl/>
        </w:rPr>
        <w:t>الأشموني</w:t>
      </w:r>
      <w:proofErr w:type="spellEnd"/>
      <w:r w:rsidRPr="006C09D7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 xml:space="preserve">(شرح </w:t>
      </w:r>
      <w:proofErr w:type="spellStart"/>
      <w:r w:rsidRPr="006C09D7">
        <w:rPr>
          <w:b/>
          <w:bCs/>
          <w:sz w:val="18"/>
          <w:szCs w:val="18"/>
          <w:rtl/>
        </w:rPr>
        <w:t>الأشموني</w:t>
      </w:r>
      <w:proofErr w:type="spellEnd"/>
      <w:r w:rsidRPr="006C09D7">
        <w:rPr>
          <w:b/>
          <w:bCs/>
          <w:sz w:val="18"/>
          <w:szCs w:val="18"/>
          <w:rtl/>
        </w:rPr>
        <w:t xml:space="preserve"> على ألفية ابن مالك) تحقيق: محمد محيي الدين عبد الحميد، بيروت، دار الكتاب العربي، 1955م.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</w:rPr>
      </w:pPr>
      <w:r w:rsidRPr="006C09D7">
        <w:rPr>
          <w:b/>
          <w:bCs/>
          <w:sz w:val="18"/>
          <w:szCs w:val="18"/>
          <w:rtl/>
        </w:rPr>
        <w:t>خالد الأزهري،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(شرح التصريح على التوضيح) تحقيق: محمد باسل، دار الكتب العلمية، 2005م.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lastRenderedPageBreak/>
        <w:t xml:space="preserve">نجم الدين محمد بن الحسن رضي الدين </w:t>
      </w:r>
      <w:proofErr w:type="spellStart"/>
      <w:r w:rsidRPr="006C09D7">
        <w:rPr>
          <w:b/>
          <w:bCs/>
          <w:sz w:val="18"/>
          <w:szCs w:val="18"/>
          <w:rtl/>
        </w:rPr>
        <w:t>الأستراباذي</w:t>
      </w:r>
      <w:proofErr w:type="spellEnd"/>
      <w:r w:rsidRPr="006C09D7">
        <w:rPr>
          <w:b/>
          <w:bCs/>
          <w:sz w:val="18"/>
          <w:szCs w:val="18"/>
          <w:rtl/>
        </w:rPr>
        <w:t>، (شرح الكافية)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طهران، مؤسسة الصادق، 1978م.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</w:rPr>
      </w:pPr>
      <w:r w:rsidRPr="006C09D7">
        <w:rPr>
          <w:b/>
          <w:bCs/>
          <w:sz w:val="18"/>
          <w:szCs w:val="18"/>
          <w:rtl/>
        </w:rPr>
        <w:t>ابن يعيش، (شرح المفصل)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عالم الكتب، 1999م.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 xml:space="preserve">فتحي </w:t>
      </w:r>
      <w:proofErr w:type="spellStart"/>
      <w:r w:rsidRPr="006C09D7">
        <w:rPr>
          <w:b/>
          <w:bCs/>
          <w:sz w:val="18"/>
          <w:szCs w:val="18"/>
          <w:rtl/>
        </w:rPr>
        <w:t>الدجني</w:t>
      </w:r>
      <w:proofErr w:type="spellEnd"/>
      <w:r w:rsidRPr="006C09D7">
        <w:rPr>
          <w:b/>
          <w:bCs/>
          <w:sz w:val="18"/>
          <w:szCs w:val="18"/>
          <w:rtl/>
        </w:rPr>
        <w:t>، بيروت،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(الصرف العربي, نشأة ودراسة)  دار الكتاب العربي، 2001م.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الخليل بن أحمد </w:t>
      </w:r>
      <w:proofErr w:type="spellStart"/>
      <w:r w:rsidRPr="006C09D7">
        <w:rPr>
          <w:b/>
          <w:bCs/>
          <w:sz w:val="18"/>
          <w:szCs w:val="18"/>
          <w:rtl/>
        </w:rPr>
        <w:t>الفراهيدي</w:t>
      </w:r>
      <w:proofErr w:type="spellEnd"/>
      <w:r w:rsidRPr="006C09D7">
        <w:rPr>
          <w:b/>
          <w:bCs/>
          <w:sz w:val="18"/>
          <w:szCs w:val="18"/>
          <w:rtl/>
        </w:rPr>
        <w:t>، (العين)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تحقيق: مهدي المخزومي وإبراهيم السامرائي، بغداد، وزارة الثقافة العراقية، 1980م.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</w:rPr>
      </w:pPr>
      <w:r w:rsidRPr="006C09D7">
        <w:rPr>
          <w:b/>
          <w:bCs/>
          <w:sz w:val="18"/>
          <w:szCs w:val="18"/>
          <w:rtl/>
        </w:rPr>
        <w:t xml:space="preserve">عبد الحميد </w:t>
      </w:r>
      <w:proofErr w:type="spellStart"/>
      <w:r w:rsidRPr="006C09D7">
        <w:rPr>
          <w:b/>
          <w:bCs/>
          <w:sz w:val="18"/>
          <w:szCs w:val="18"/>
          <w:rtl/>
        </w:rPr>
        <w:t>عنتر</w:t>
      </w:r>
      <w:proofErr w:type="spellEnd"/>
      <w:r w:rsidRPr="006C09D7">
        <w:rPr>
          <w:b/>
          <w:bCs/>
          <w:sz w:val="18"/>
          <w:szCs w:val="18"/>
          <w:rtl/>
        </w:rPr>
        <w:t>، (القول الفصل في التصغير والنسب والوقف والإمالة وهمزة الوصل)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طبعة الجامعة الإسلامية، 1409هـ.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عمرو بن عثمان بن </w:t>
      </w:r>
      <w:proofErr w:type="spellStart"/>
      <w:r w:rsidRPr="006C09D7">
        <w:rPr>
          <w:b/>
          <w:bCs/>
          <w:sz w:val="18"/>
          <w:szCs w:val="18"/>
          <w:rtl/>
        </w:rPr>
        <w:t>قنبر</w:t>
      </w:r>
      <w:proofErr w:type="spellEnd"/>
      <w:r w:rsidRPr="006C09D7">
        <w:rPr>
          <w:b/>
          <w:bCs/>
          <w:sz w:val="18"/>
          <w:szCs w:val="18"/>
          <w:rtl/>
        </w:rPr>
        <w:t xml:space="preserve"> سيبويه،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(كتاب سيبويه) تحقيق: عبد السلام هارون، بيروت، عالم الكتب، 1983م.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أحمد بن الحسن بن يوسف </w:t>
      </w:r>
      <w:proofErr w:type="spellStart"/>
      <w:r w:rsidRPr="006C09D7">
        <w:rPr>
          <w:b/>
          <w:bCs/>
          <w:sz w:val="18"/>
          <w:szCs w:val="18"/>
          <w:rtl/>
        </w:rPr>
        <w:t>الجاربردي</w:t>
      </w:r>
      <w:proofErr w:type="spellEnd"/>
      <w:r w:rsidRPr="006C09D7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(مجموعة الشافية من علمي الصرف والخط) بيروت، عالم الكتب، 1984م.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محمد عبد الخالق </w:t>
      </w:r>
      <w:proofErr w:type="spellStart"/>
      <w:r w:rsidRPr="006C09D7">
        <w:rPr>
          <w:b/>
          <w:bCs/>
          <w:sz w:val="18"/>
          <w:szCs w:val="18"/>
          <w:rtl/>
        </w:rPr>
        <w:t>عضيمة</w:t>
      </w:r>
      <w:proofErr w:type="spellEnd"/>
      <w:r w:rsidRPr="006C09D7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(المغني في تصريف الأفعال)  دار الحديث للنشر والتوزيع، 1991م.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 xml:space="preserve">ابن عصفور </w:t>
      </w:r>
      <w:proofErr w:type="spellStart"/>
      <w:r w:rsidRPr="006C09D7">
        <w:rPr>
          <w:b/>
          <w:bCs/>
          <w:sz w:val="18"/>
          <w:szCs w:val="18"/>
          <w:rtl/>
        </w:rPr>
        <w:t>الإشبيلي</w:t>
      </w:r>
      <w:proofErr w:type="spellEnd"/>
      <w:r w:rsidRPr="006C09D7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 xml:space="preserve">(الممتع في التصريف) تحقيق: فخر الدين </w:t>
      </w:r>
      <w:proofErr w:type="spellStart"/>
      <w:r w:rsidRPr="006C09D7">
        <w:rPr>
          <w:b/>
          <w:bCs/>
          <w:sz w:val="18"/>
          <w:szCs w:val="18"/>
          <w:rtl/>
        </w:rPr>
        <w:t>قباوة</w:t>
      </w:r>
      <w:proofErr w:type="spellEnd"/>
      <w:r w:rsidRPr="006C09D7">
        <w:rPr>
          <w:b/>
          <w:bCs/>
          <w:sz w:val="18"/>
          <w:szCs w:val="18"/>
          <w:rtl/>
        </w:rPr>
        <w:t>، بيروت، 1979م.</w:t>
      </w:r>
    </w:p>
    <w:p w:rsidR="00361DA1" w:rsidRPr="006C09D7" w:rsidRDefault="00361DA1" w:rsidP="00A20F51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  <w:rtl/>
        </w:rPr>
      </w:pPr>
      <w:r w:rsidRPr="006C09D7">
        <w:rPr>
          <w:b/>
          <w:bCs/>
          <w:sz w:val="18"/>
          <w:szCs w:val="18"/>
          <w:rtl/>
        </w:rPr>
        <w:t>زكريا الأنصاري، إستانبول،</w:t>
      </w:r>
      <w:r>
        <w:rPr>
          <w:b/>
          <w:bCs/>
          <w:sz w:val="18"/>
          <w:szCs w:val="18"/>
          <w:rtl/>
        </w:rPr>
        <w:t xml:space="preserve"> </w:t>
      </w:r>
      <w:r w:rsidRPr="006C09D7">
        <w:rPr>
          <w:b/>
          <w:bCs/>
          <w:sz w:val="18"/>
          <w:szCs w:val="18"/>
          <w:rtl/>
        </w:rPr>
        <w:t>(المناهج الكافية في شرح الشافية) دار الطباعة العامرة، 1310هـ.</w:t>
      </w:r>
    </w:p>
    <w:p w:rsidR="00361DA1" w:rsidRPr="00BF4354" w:rsidRDefault="00361DA1" w:rsidP="00BF4354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</w:rPr>
      </w:pPr>
      <w:r w:rsidRPr="00BF4354">
        <w:rPr>
          <w:b/>
          <w:bCs/>
          <w:sz w:val="18"/>
          <w:szCs w:val="18"/>
          <w:rtl/>
        </w:rPr>
        <w:t>أبو الفتح عثمان ابن جني، (المنصف في شرح كتاب التصريف) تحقيق: محمد عبد القادر عطا، دار الكتب العلمية 1999م.</w:t>
      </w:r>
    </w:p>
    <w:p w:rsidR="00361DA1" w:rsidRPr="00BF4354" w:rsidRDefault="00361DA1" w:rsidP="00BF4354">
      <w:pPr>
        <w:numPr>
          <w:ilvl w:val="0"/>
          <w:numId w:val="1"/>
        </w:numPr>
        <w:bidi/>
        <w:jc w:val="lowKashida"/>
        <w:rPr>
          <w:b/>
          <w:bCs/>
          <w:sz w:val="18"/>
          <w:szCs w:val="18"/>
        </w:rPr>
      </w:pPr>
      <w:r w:rsidRPr="00BF4354">
        <w:rPr>
          <w:b/>
          <w:bCs/>
          <w:sz w:val="18"/>
          <w:szCs w:val="18"/>
          <w:rtl/>
        </w:rPr>
        <w:t>أبو العباس المبرِّد، (المقتضب) تحقيق: حسن حمد وإميل يعقوب، دار الكتب العلمية، 1999م.</w:t>
      </w:r>
    </w:p>
    <w:p w:rsidR="00361DA1" w:rsidRDefault="00361DA1" w:rsidP="005D5466">
      <w:pPr>
        <w:jc w:val="center"/>
        <w:rPr>
          <w:b/>
          <w:bCs/>
          <w:sz w:val="48"/>
          <w:szCs w:val="48"/>
          <w:lang w:bidi="ar-EG"/>
        </w:rPr>
        <w:sectPr w:rsidR="00361DA1" w:rsidSect="005D5466">
          <w:type w:val="continuous"/>
          <w:pgSz w:w="11906" w:h="16838"/>
          <w:pgMar w:top="993" w:right="424" w:bottom="284" w:left="851" w:header="708" w:footer="708" w:gutter="0"/>
          <w:cols w:num="2" w:space="708"/>
          <w:bidi/>
          <w:rtlGutter/>
          <w:docGrid w:linePitch="360"/>
        </w:sectPr>
      </w:pPr>
    </w:p>
    <w:p w:rsidR="00361DA1" w:rsidRPr="005D5466" w:rsidRDefault="00361DA1" w:rsidP="005D5466">
      <w:pPr>
        <w:jc w:val="center"/>
        <w:rPr>
          <w:b/>
          <w:bCs/>
          <w:sz w:val="48"/>
          <w:szCs w:val="48"/>
          <w:rtl/>
          <w:lang w:bidi="ar-EG"/>
        </w:rPr>
      </w:pPr>
    </w:p>
    <w:p w:rsidR="00361DA1" w:rsidRDefault="00361DA1">
      <w:pPr>
        <w:rPr>
          <w:lang w:bidi="ar-EG"/>
        </w:rPr>
      </w:pPr>
    </w:p>
    <w:sectPr w:rsidR="00361DA1" w:rsidSect="005D5466">
      <w:type w:val="continuous"/>
      <w:pgSz w:w="11906" w:h="16838"/>
      <w:pgMar w:top="1440" w:right="424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33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Furat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5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9577560"/>
    <w:multiLevelType w:val="hybridMultilevel"/>
    <w:tmpl w:val="0A14017E"/>
    <w:lvl w:ilvl="0" w:tplc="BDB45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466"/>
    <w:rsid w:val="00012EDC"/>
    <w:rsid w:val="001242CC"/>
    <w:rsid w:val="001D03B2"/>
    <w:rsid w:val="001E0FD0"/>
    <w:rsid w:val="0027194B"/>
    <w:rsid w:val="002E2AB4"/>
    <w:rsid w:val="00361DA1"/>
    <w:rsid w:val="004168A0"/>
    <w:rsid w:val="004219C3"/>
    <w:rsid w:val="00426F7E"/>
    <w:rsid w:val="0052502A"/>
    <w:rsid w:val="005310AE"/>
    <w:rsid w:val="005D5466"/>
    <w:rsid w:val="006C09D7"/>
    <w:rsid w:val="00816818"/>
    <w:rsid w:val="00A20F51"/>
    <w:rsid w:val="00BF4354"/>
    <w:rsid w:val="00CC0F5D"/>
    <w:rsid w:val="00D234B4"/>
    <w:rsid w:val="00D67065"/>
    <w:rsid w:val="00DE0243"/>
    <w:rsid w:val="00F50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6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5466"/>
    <w:pPr>
      <w:ind w:left="75" w:right="75"/>
      <w:jc w:val="both"/>
    </w:pPr>
    <w:rPr>
      <w:rFonts w:ascii="Tahoma" w:hAnsi="Tahoma" w:cs="Tahoma"/>
      <w:sz w:val="36"/>
      <w:szCs w:val="36"/>
    </w:rPr>
  </w:style>
  <w:style w:type="character" w:styleId="Hyperlink">
    <w:name w:val="Hyperlink"/>
    <w:basedOn w:val="a0"/>
    <w:uiPriority w:val="99"/>
    <w:rsid w:val="005D546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1182</Words>
  <Characters>6743</Characters>
  <Application>Microsoft Office Word</Application>
  <DocSecurity>0</DocSecurity>
  <Lines>56</Lines>
  <Paragraphs>15</Paragraphs>
  <ScaleCrop>false</ScaleCrop>
  <Company>Fannan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7</cp:revision>
  <dcterms:created xsi:type="dcterms:W3CDTF">2013-06-13T16:47:00Z</dcterms:created>
  <dcterms:modified xsi:type="dcterms:W3CDTF">2013-06-25T10:43:00Z</dcterms:modified>
</cp:coreProperties>
</file>