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11" w:rsidRDefault="00823011" w:rsidP="00823011">
      <w:pPr>
        <w:spacing w:line="240" w:lineRule="auto"/>
        <w:jc w:val="center"/>
        <w:rPr>
          <w:rFonts w:asciiTheme="majorBidi" w:eastAsia="Calibri" w:hAnsiTheme="majorBidi" w:cstheme="majorBidi"/>
          <w:sz w:val="48"/>
          <w:szCs w:val="48"/>
          <w:rtl/>
        </w:rPr>
      </w:pPr>
      <w:r w:rsidRPr="00E66874">
        <w:rPr>
          <w:rFonts w:asciiTheme="majorBidi" w:eastAsia="Calibri" w:hAnsiTheme="majorBidi" w:cstheme="majorBidi"/>
          <w:sz w:val="48"/>
          <w:szCs w:val="48"/>
          <w:rtl/>
        </w:rPr>
        <w:t>الوجوه من الأول إلى الرابع في الرد على ادعاء أن القرآن من</w:t>
      </w:r>
    </w:p>
    <w:p w:rsidR="00823011" w:rsidRDefault="00823011" w:rsidP="00823011">
      <w:pPr>
        <w:spacing w:line="240" w:lineRule="auto"/>
        <w:jc w:val="center"/>
        <w:rPr>
          <w:rtl/>
        </w:rPr>
      </w:pPr>
      <w:r w:rsidRPr="00E66874">
        <w:rPr>
          <w:rFonts w:asciiTheme="majorBidi" w:eastAsia="Calibri" w:hAnsiTheme="majorBidi" w:cstheme="majorBidi"/>
          <w:sz w:val="48"/>
          <w:szCs w:val="48"/>
          <w:rtl/>
        </w:rPr>
        <w:t>تأليف النبي</w:t>
      </w:r>
      <w:r w:rsidRPr="00E66874">
        <w:rPr>
          <w:rFonts w:ascii="Calibri" w:eastAsia="Calibri" w:hAnsi="Calibri" w:cs="AGA Rasheeq Bold"/>
          <w:sz w:val="48"/>
          <w:szCs w:val="48"/>
          <w:rtl/>
        </w:rPr>
        <w:t xml:space="preserve"> </w:t>
      </w:r>
      <w:r w:rsidRPr="00E66874">
        <w:rPr>
          <w:rFonts w:ascii="AGA Arabesque" w:eastAsia="Calibri" w:hAnsi="AGA Arabesque" w:cs="Century Gothic"/>
          <w:position w:val="-4"/>
          <w:sz w:val="48"/>
          <w:szCs w:val="48"/>
        </w:rPr>
        <w:t></w:t>
      </w:r>
    </w:p>
    <w:p w:rsidR="00823011" w:rsidRPr="00823011" w:rsidRDefault="00823011" w:rsidP="00823011">
      <w:pPr>
        <w:spacing w:line="240" w:lineRule="auto"/>
        <w:jc w:val="center"/>
        <w:rPr>
          <w:sz w:val="48"/>
          <w:szCs w:val="48"/>
          <w:rtl/>
        </w:rPr>
      </w:pPr>
      <w:r w:rsidRPr="00823011">
        <w:rPr>
          <w:rFonts w:hint="cs"/>
          <w:sz w:val="48"/>
          <w:szCs w:val="48"/>
          <w:rtl/>
        </w:rPr>
        <w:t>(2)</w:t>
      </w:r>
    </w:p>
    <w:p w:rsidR="00823011" w:rsidRPr="00634035" w:rsidRDefault="00823011" w:rsidP="00823011">
      <w:pPr>
        <w:pStyle w:val="papersubtitle"/>
        <w:bidi/>
        <w:rPr>
          <w:i/>
          <w:iCs/>
          <w:rtl/>
        </w:rPr>
      </w:pPr>
      <w:r w:rsidRPr="00634035">
        <w:rPr>
          <w:i/>
          <w:iCs/>
          <w:rtl/>
        </w:rPr>
        <w:t xml:space="preserve">بحث  فى </w:t>
      </w:r>
      <w:r w:rsidRPr="00634035">
        <w:rPr>
          <w:rFonts w:hint="cs"/>
          <w:i/>
          <w:iCs/>
          <w:rtl/>
        </w:rPr>
        <w:t>دفاع عن القراَن</w:t>
      </w:r>
    </w:p>
    <w:p w:rsidR="00823011" w:rsidRPr="009264EA" w:rsidRDefault="00823011" w:rsidP="00982C7F">
      <w:pPr>
        <w:pStyle w:val="papersubtitle"/>
        <w:bidi/>
        <w:rPr>
          <w:i/>
          <w:iCs/>
          <w:sz w:val="24"/>
          <w:szCs w:val="24"/>
        </w:rPr>
      </w:pPr>
      <w:r w:rsidRPr="009264EA">
        <w:rPr>
          <w:i/>
          <w:iCs/>
          <w:sz w:val="24"/>
          <w:szCs w:val="24"/>
          <w:rtl/>
        </w:rPr>
        <w:t xml:space="preserve">إعداد أ/ </w:t>
      </w:r>
      <w:r w:rsidR="00982C7F" w:rsidRPr="00982C7F">
        <w:rPr>
          <w:rFonts w:hint="cs"/>
          <w:i/>
          <w:iCs/>
          <w:sz w:val="24"/>
          <w:szCs w:val="24"/>
          <w:rtl/>
        </w:rPr>
        <w:t>عادل</w:t>
      </w:r>
      <w:r w:rsidR="00982C7F" w:rsidRPr="00982C7F">
        <w:rPr>
          <w:i/>
          <w:iCs/>
          <w:sz w:val="24"/>
          <w:szCs w:val="24"/>
          <w:rtl/>
        </w:rPr>
        <w:t xml:space="preserve"> </w:t>
      </w:r>
      <w:r w:rsidR="00982C7F" w:rsidRPr="00982C7F">
        <w:rPr>
          <w:rFonts w:hint="cs"/>
          <w:i/>
          <w:iCs/>
          <w:sz w:val="24"/>
          <w:szCs w:val="24"/>
          <w:rtl/>
        </w:rPr>
        <w:t>محمد</w:t>
      </w:r>
      <w:r w:rsidR="00982C7F" w:rsidRPr="00982C7F">
        <w:rPr>
          <w:i/>
          <w:iCs/>
          <w:sz w:val="24"/>
          <w:szCs w:val="24"/>
          <w:rtl/>
        </w:rPr>
        <w:t xml:space="preserve"> </w:t>
      </w:r>
      <w:r w:rsidR="00982C7F" w:rsidRPr="00982C7F">
        <w:rPr>
          <w:rFonts w:hint="cs"/>
          <w:i/>
          <w:iCs/>
          <w:sz w:val="24"/>
          <w:szCs w:val="24"/>
          <w:rtl/>
        </w:rPr>
        <w:t>فتحي</w:t>
      </w:r>
    </w:p>
    <w:p w:rsidR="00823011" w:rsidRPr="009264EA" w:rsidRDefault="00823011" w:rsidP="00823011">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823011" w:rsidRPr="009264EA" w:rsidRDefault="00823011" w:rsidP="0082301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823011" w:rsidRPr="009264EA" w:rsidRDefault="00823011" w:rsidP="00823011">
      <w:pPr>
        <w:pStyle w:val="papersubtitle"/>
        <w:bidi/>
        <w:rPr>
          <w:i/>
          <w:iCs/>
          <w:sz w:val="22"/>
          <w:szCs w:val="22"/>
          <w:rtl/>
        </w:rPr>
      </w:pPr>
      <w:r w:rsidRPr="009264EA">
        <w:rPr>
          <w:i/>
          <w:iCs/>
          <w:sz w:val="22"/>
          <w:szCs w:val="22"/>
          <w:rtl/>
        </w:rPr>
        <w:t>شاه علم – ماليزيا</w:t>
      </w:r>
    </w:p>
    <w:p w:rsidR="00823011" w:rsidRDefault="00982C7F" w:rsidP="00982C7F">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982C7F" w:rsidRDefault="00982C7F" w:rsidP="00982C7F">
      <w:pPr>
        <w:spacing w:after="120" w:line="240" w:lineRule="auto"/>
        <w:jc w:val="center"/>
        <w:rPr>
          <w:rFonts w:asciiTheme="majorBidi" w:hAnsiTheme="majorBidi" w:cstheme="majorBidi" w:hint="cs"/>
          <w:b/>
          <w:bCs/>
          <w:sz w:val="20"/>
          <w:szCs w:val="20"/>
          <w:rtl/>
          <w:lang w:bidi="ar-EG"/>
        </w:rPr>
      </w:pPr>
    </w:p>
    <w:p w:rsidR="00982C7F" w:rsidRPr="00982C7F" w:rsidRDefault="00982C7F" w:rsidP="00982C7F">
      <w:pPr>
        <w:spacing w:after="120" w:line="240" w:lineRule="auto"/>
        <w:jc w:val="center"/>
        <w:rPr>
          <w:rFonts w:asciiTheme="majorBidi" w:hAnsiTheme="majorBidi" w:cstheme="majorBidi" w:hint="cs"/>
          <w:b/>
          <w:bCs/>
          <w:sz w:val="20"/>
          <w:szCs w:val="20"/>
          <w:rtl/>
          <w:lang w:bidi="ar-EG"/>
        </w:rPr>
        <w:sectPr w:rsidR="00982C7F" w:rsidRPr="00982C7F" w:rsidSect="00BF7572">
          <w:pgSz w:w="11906" w:h="16838"/>
          <w:pgMar w:top="964" w:right="1021" w:bottom="964" w:left="1021" w:header="709" w:footer="709" w:gutter="0"/>
          <w:cols w:space="708"/>
          <w:bidi/>
          <w:rtlGutter/>
          <w:docGrid w:linePitch="360"/>
        </w:sectPr>
      </w:pPr>
    </w:p>
    <w:p w:rsidR="00823011" w:rsidRPr="00823011" w:rsidRDefault="00823011" w:rsidP="00823011">
      <w:pPr>
        <w:spacing w:after="120" w:line="240" w:lineRule="auto"/>
        <w:rPr>
          <w:rFonts w:asciiTheme="majorBidi" w:hAnsiTheme="majorBidi" w:cstheme="majorBidi"/>
          <w:b/>
          <w:bCs/>
          <w:sz w:val="20"/>
          <w:szCs w:val="20"/>
          <w:rtl/>
          <w:lang w:bidi="ar-EG"/>
        </w:rPr>
      </w:pPr>
      <w:r w:rsidRPr="00823011">
        <w:rPr>
          <w:rFonts w:asciiTheme="majorBidi" w:hAnsiTheme="majorBidi" w:cstheme="majorBidi"/>
          <w:b/>
          <w:bCs/>
          <w:sz w:val="20"/>
          <w:szCs w:val="20"/>
          <w:rtl/>
        </w:rPr>
        <w:lastRenderedPageBreak/>
        <w:t xml:space="preserve">خلاصة ـــ هذا البحث يبحث في </w:t>
      </w:r>
      <w:r w:rsidRPr="00823011">
        <w:rPr>
          <w:rFonts w:asciiTheme="majorBidi" w:eastAsia="Calibri" w:hAnsiTheme="majorBidi" w:cstheme="majorBidi"/>
          <w:b/>
          <w:bCs/>
          <w:sz w:val="20"/>
          <w:szCs w:val="20"/>
          <w:rtl/>
        </w:rPr>
        <w:t>الوجوه من الأول إلى الرابع في الرد على ادعاء أن القرآن من تأليف النبي</w:t>
      </w:r>
      <w:r w:rsidRPr="00823011">
        <w:rPr>
          <w:rFonts w:ascii="Calibri" w:eastAsia="Calibri" w:hAnsi="Calibri" w:cs="AGA Rasheeq Bold"/>
          <w:b/>
          <w:bCs/>
          <w:sz w:val="20"/>
          <w:szCs w:val="20"/>
          <w:rtl/>
        </w:rPr>
        <w:t xml:space="preserve"> </w:t>
      </w:r>
      <w:r w:rsidRPr="00823011">
        <w:rPr>
          <w:rFonts w:ascii="AGA Arabesque" w:eastAsia="Calibri" w:hAnsi="AGA Arabesque" w:cs="Century Gothic"/>
          <w:b/>
          <w:bCs/>
          <w:position w:val="-4"/>
          <w:sz w:val="20"/>
          <w:szCs w:val="20"/>
        </w:rPr>
        <w:t></w:t>
      </w:r>
    </w:p>
    <w:p w:rsidR="00823011" w:rsidRPr="00823011" w:rsidRDefault="00823011" w:rsidP="00823011">
      <w:pPr>
        <w:spacing w:after="120" w:line="240" w:lineRule="auto"/>
        <w:rPr>
          <w:rFonts w:asciiTheme="majorBidi" w:hAnsiTheme="majorBidi" w:cstheme="majorBidi"/>
          <w:b/>
          <w:bCs/>
          <w:sz w:val="20"/>
          <w:szCs w:val="20"/>
          <w:rtl/>
          <w:lang w:bidi="ar-EG"/>
        </w:rPr>
      </w:pPr>
      <w:r w:rsidRPr="00823011">
        <w:rPr>
          <w:rFonts w:asciiTheme="majorBidi" w:hAnsiTheme="majorBidi" w:cstheme="majorBidi"/>
          <w:b/>
          <w:bCs/>
          <w:sz w:val="20"/>
          <w:szCs w:val="20"/>
          <w:rtl/>
        </w:rPr>
        <w:t>الكلمات المفتاحية :</w:t>
      </w:r>
      <w:r w:rsidRPr="00823011">
        <w:rPr>
          <w:rFonts w:asciiTheme="majorBidi" w:hAnsiTheme="majorBidi" w:cstheme="majorBidi"/>
          <w:b/>
          <w:bCs/>
          <w:sz w:val="20"/>
          <w:szCs w:val="20"/>
          <w:rtl/>
          <w:lang w:bidi="ar-EG"/>
        </w:rPr>
        <w:t xml:space="preserve"> القرآن</w:t>
      </w:r>
      <w:r w:rsidRPr="00823011">
        <w:rPr>
          <w:rFonts w:asciiTheme="majorBidi" w:hAnsiTheme="majorBidi" w:cstheme="majorBidi"/>
          <w:b/>
          <w:bCs/>
          <w:sz w:val="20"/>
          <w:szCs w:val="20"/>
          <w:rtl/>
        </w:rPr>
        <w:t xml:space="preserve"> ،</w:t>
      </w:r>
      <w:r w:rsidRPr="00823011">
        <w:rPr>
          <w:rFonts w:asciiTheme="majorBidi" w:hAnsiTheme="majorBidi" w:cstheme="majorBidi"/>
          <w:b/>
          <w:bCs/>
          <w:sz w:val="20"/>
          <w:szCs w:val="20"/>
          <w:rtl/>
          <w:lang w:bidi="ar-EG"/>
        </w:rPr>
        <w:t xml:space="preserve"> كتاب الله</w:t>
      </w:r>
      <w:r w:rsidRPr="00823011">
        <w:rPr>
          <w:rFonts w:asciiTheme="majorBidi" w:hAnsiTheme="majorBidi" w:cstheme="majorBidi"/>
          <w:b/>
          <w:bCs/>
          <w:sz w:val="20"/>
          <w:szCs w:val="20"/>
          <w:rtl/>
        </w:rPr>
        <w:t xml:space="preserve"> ، </w:t>
      </w:r>
      <w:r w:rsidRPr="00823011">
        <w:rPr>
          <w:rFonts w:asciiTheme="majorBidi" w:hAnsiTheme="majorBidi" w:cstheme="majorBidi"/>
          <w:b/>
          <w:bCs/>
          <w:sz w:val="20"/>
          <w:szCs w:val="20"/>
          <w:rtl/>
          <w:lang w:bidi="ar-EG"/>
        </w:rPr>
        <w:t>الشبهات</w:t>
      </w:r>
    </w:p>
    <w:p w:rsidR="00823011" w:rsidRPr="00823011" w:rsidRDefault="00823011" w:rsidP="00823011">
      <w:pPr>
        <w:pStyle w:val="ListParagraph"/>
        <w:numPr>
          <w:ilvl w:val="0"/>
          <w:numId w:val="1"/>
        </w:numPr>
        <w:spacing w:after="120"/>
        <w:jc w:val="center"/>
        <w:rPr>
          <w:rFonts w:asciiTheme="majorBidi" w:hAnsiTheme="majorBidi" w:cstheme="majorBidi"/>
          <w:b/>
          <w:bCs/>
          <w:sz w:val="20"/>
          <w:szCs w:val="20"/>
          <w:rtl/>
        </w:rPr>
      </w:pPr>
      <w:r w:rsidRPr="00823011">
        <w:rPr>
          <w:rFonts w:asciiTheme="majorBidi" w:hAnsiTheme="majorBidi" w:cstheme="majorBidi"/>
          <w:b/>
          <w:bCs/>
          <w:sz w:val="20"/>
          <w:szCs w:val="20"/>
          <w:rtl/>
        </w:rPr>
        <w:t>المقدمة</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23011">
        <w:rPr>
          <w:rFonts w:asciiTheme="majorBidi" w:eastAsia="Calibri" w:hAnsiTheme="majorBidi" w:cstheme="majorBidi"/>
          <w:b/>
          <w:bCs/>
          <w:sz w:val="20"/>
          <w:szCs w:val="20"/>
          <w:rtl/>
        </w:rPr>
        <w:t xml:space="preserve">الوجوه من الأول إلى الرابع في الرد على ادعاء أن القرآن من تأليف النبي </w:t>
      </w:r>
      <w:r w:rsidRPr="00823011">
        <w:rPr>
          <w:rFonts w:asciiTheme="majorBidi" w:eastAsia="Calibri" w:hAnsiTheme="majorBidi" w:cstheme="majorBidi"/>
          <w:b/>
          <w:bCs/>
          <w:position w:val="-4"/>
          <w:sz w:val="20"/>
          <w:szCs w:val="20"/>
        </w:rPr>
        <w:t></w:t>
      </w:r>
    </w:p>
    <w:p w:rsidR="00823011" w:rsidRPr="00823011" w:rsidRDefault="00823011" w:rsidP="000037C1">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823011">
        <w:rPr>
          <w:rFonts w:asciiTheme="majorBidi" w:hAnsiTheme="majorBidi" w:cstheme="majorBidi"/>
          <w:b/>
          <w:bCs/>
          <w:sz w:val="20"/>
          <w:szCs w:val="20"/>
          <w:rtl/>
        </w:rPr>
        <w:t>عنوان المقال</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color w:val="000080"/>
          <w:sz w:val="20"/>
          <w:szCs w:val="20"/>
          <w:rtl/>
          <w:lang w:bidi="ar-EG"/>
        </w:rPr>
        <w:t>الوجه الثالث:</w:t>
      </w:r>
      <w:r w:rsidRPr="00823011">
        <w:rPr>
          <w:rFonts w:asciiTheme="majorBidi" w:hAnsiTheme="majorBidi" w:cstheme="majorBidi"/>
          <w:b/>
          <w:bCs/>
          <w:sz w:val="20"/>
          <w:szCs w:val="20"/>
          <w:rtl/>
          <w:lang w:bidi="ar-EG"/>
        </w:rPr>
        <w:t xml:space="preserve"> تبرُّؤ النبي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من نسبةِ القرآن إليه ليس ادِّعاء يحتاج بينة، بل هو إقرار يُؤخذ به صاحبه، في الحقيقة إن هذه القضية لو وَجدت قاضيًا يقضي بالعدل لاكتفى بسماع هذه الشهادة التي جاءت بلسان صاحبها على نفسه، ولم يطلب وراءها شهادة شاهد آخر من العقل، أو النقل، ذلك أنها ليست من جنس الدعاوى التي تحتاج إلى بينة، وإنما هي من نوع الإقرار الذي يُؤخذ به صاحبه، ولا يتوقف صديق ولا عدوٌّ في قبوله منه، فأي مصلحة للعاقل الذي يدَّعي لنفسه حق الزعامة، ويتحدى الناس بالأعاجيب والمعجزات لتأييد تلك الزعامة. نقول: أيُّ مصلحة له في أن ينسب بضاعته لغيره، وينسلخ منها انسلاخًا، على حين أنه كان يستطيع أن ينتحلها، فيزداد بها رفعة وفخامة شأن، ولو انتحلها -أي: لو نسبها لنفسه- لما وجد من البشر أحدًا يُعارضه ويزعمها لنفسه.</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lang w:bidi="ar-EG"/>
        </w:rPr>
        <w:t>الذي نعرفه أن كثيرًا من الأدباء يسطون على آثار غيرهم فيسرقونها، أو يسرقون منها ما خَفَّ حمله، وغلت قيمته، وأمنت تهمته حتى إن منهم من ينبش قبور الموتى، ويلبس من أكفانهم، ويخرج على قومه في زينة من تلك الأبواب المستعارة. أما أن أحدًا ينسب لغيره أنفس آثار عقله، وأجلى ما تجود به قريحته، فهذا ما لم يلده الدهر بعد.</w:t>
      </w:r>
    </w:p>
    <w:p w:rsidR="00823011" w:rsidRPr="00823011" w:rsidRDefault="00823011" w:rsidP="00823011">
      <w:pPr>
        <w:pStyle w:val="NormalWeb"/>
        <w:bidi/>
        <w:spacing w:before="0" w:beforeAutospacing="0" w:after="120" w:afterAutospacing="0"/>
        <w:jc w:val="both"/>
        <w:rPr>
          <w:rFonts w:asciiTheme="majorBidi" w:hAnsiTheme="majorBidi" w:cstheme="majorBidi"/>
          <w:b/>
          <w:bCs/>
          <w:sz w:val="20"/>
          <w:szCs w:val="20"/>
          <w:rtl/>
        </w:rPr>
      </w:pPr>
      <w:r w:rsidRPr="00823011">
        <w:rPr>
          <w:rFonts w:asciiTheme="majorBidi" w:hAnsiTheme="majorBidi" w:cstheme="majorBidi"/>
          <w:b/>
          <w:bCs/>
          <w:color w:val="000080"/>
          <w:sz w:val="20"/>
          <w:szCs w:val="20"/>
          <w:rtl/>
          <w:lang w:bidi="ar-EG"/>
        </w:rPr>
        <w:t>الوجه الرابع:</w:t>
      </w:r>
      <w:r w:rsidRPr="00823011">
        <w:rPr>
          <w:rFonts w:asciiTheme="majorBidi" w:hAnsiTheme="majorBidi" w:cstheme="majorBidi"/>
          <w:b/>
          <w:bCs/>
          <w:sz w:val="20"/>
          <w:szCs w:val="20"/>
          <w:rtl/>
          <w:lang w:bidi="ar-EG"/>
        </w:rPr>
        <w:t xml:space="preserve"> لا أدلَّ على أن الوحي القرآني خارج عن الذات المحمدية من مخالفة القرآن للنبي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في عدة مواطن، فقد خالف القرآن في عدة مواطن رأي النبي الشخصي، وطبعه الخاص، وعاتبه على بعض الأمور كقوله تعالى: </w:t>
      </w:r>
      <w:r w:rsidRPr="00823011">
        <w:rPr>
          <w:rFonts w:ascii="Lotus Linotype" w:hAnsi="Lotus Linotype" w:cs="DecoType Thuluth"/>
          <w:b/>
          <w:bCs/>
          <w:color w:val="008000"/>
          <w:sz w:val="20"/>
          <w:szCs w:val="20"/>
          <w:rtl/>
          <w:lang w:bidi="ar-EG"/>
        </w:rPr>
        <w:t>{</w:t>
      </w:r>
      <w:r w:rsidRPr="00823011">
        <w:rPr>
          <w:rFonts w:ascii="QCF_P185" w:hAnsi="QCF_P185" w:cs="QCF_P185"/>
          <w:b/>
          <w:bCs/>
          <w:color w:val="008000"/>
          <w:sz w:val="20"/>
          <w:szCs w:val="20"/>
          <w:rtl/>
        </w:rPr>
        <w:t>ﯛ ﯜ ﯝ ﯞ ﯟ ﯠ ﯡ ﯢ ﯣ ﯤ ﯥ ﯦ ﯧ ﯨ ﯩ ﯪ ﯫ ﯬ ﯭ ﯮ ﯯ ﯰ ﯱﯲ ﯳ ﯴ ﯵ ﯶ ﯷ ﯸ ﯹ ﯺ ﯻ</w:t>
      </w:r>
      <w:r w:rsidRPr="00823011">
        <w:rPr>
          <w:rFonts w:ascii="QCF_P185" w:hAnsi="QCF_P185"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Theme="majorBidi" w:hAnsiTheme="majorBidi" w:cstheme="majorBidi"/>
          <w:b/>
          <w:bCs/>
          <w:sz w:val="20"/>
          <w:szCs w:val="20"/>
          <w:rtl/>
          <w:lang w:bidi="ar-EG"/>
        </w:rPr>
        <w:t>[الأنفال: 67، 68].</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lang w:bidi="ar-EG"/>
        </w:rPr>
        <w:t xml:space="preserve">عن ابن عباس قال: حدثني عمر بن الخطاب قال: لما كان يوم بدر نظر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إلى المشركين، وهم ألف، وأصحابه ثلاثمائة وتسعة عشر رجلًا، فاستقبل نبي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القبلة، ثم مدَّ يديه، فجعل يهتف بربِّه</w:t>
      </w:r>
      <w:r w:rsidRPr="00823011">
        <w:rPr>
          <w:rFonts w:asciiTheme="majorBidi" w:hAnsiTheme="majorBidi" w:cstheme="majorBidi"/>
          <w:b/>
          <w:bCs/>
          <w:color w:val="0000FF"/>
          <w:sz w:val="20"/>
          <w:szCs w:val="20"/>
          <w:rtl/>
          <w:lang w:bidi="ar-EG"/>
        </w:rPr>
        <w:t>: ((اللهم أنجز لي ما وعدتني، اللهم آتني ما وعدتني))</w:t>
      </w:r>
      <w:r w:rsidRPr="00823011">
        <w:rPr>
          <w:rFonts w:asciiTheme="majorBidi" w:hAnsiTheme="majorBidi" w:cstheme="majorBidi"/>
          <w:b/>
          <w:bCs/>
          <w:sz w:val="20"/>
          <w:szCs w:val="20"/>
          <w:rtl/>
          <w:lang w:bidi="ar-EG"/>
        </w:rPr>
        <w:t xml:space="preserve">، وفي الحديث فلما أسروا الأسارى، قال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لأبي بكر وعمر: </w:t>
      </w:r>
      <w:r w:rsidRPr="00823011">
        <w:rPr>
          <w:rFonts w:asciiTheme="majorBidi" w:hAnsiTheme="majorBidi" w:cstheme="majorBidi"/>
          <w:b/>
          <w:bCs/>
          <w:color w:val="0000FF"/>
          <w:sz w:val="20"/>
          <w:szCs w:val="20"/>
          <w:rtl/>
          <w:lang w:bidi="ar-EG"/>
        </w:rPr>
        <w:t xml:space="preserve">((ما ترون في هؤلاء </w:t>
      </w:r>
      <w:r w:rsidRPr="00823011">
        <w:rPr>
          <w:rFonts w:asciiTheme="majorBidi" w:hAnsiTheme="majorBidi" w:cstheme="majorBidi"/>
          <w:b/>
          <w:bCs/>
          <w:color w:val="0000FF"/>
          <w:sz w:val="20"/>
          <w:szCs w:val="20"/>
          <w:rtl/>
          <w:lang w:bidi="ar-EG"/>
        </w:rPr>
        <w:lastRenderedPageBreak/>
        <w:t xml:space="preserve">الأسارى؟)) </w:t>
      </w:r>
      <w:r w:rsidRPr="00823011">
        <w:rPr>
          <w:rFonts w:asciiTheme="majorBidi" w:hAnsiTheme="majorBidi" w:cstheme="majorBidi"/>
          <w:b/>
          <w:bCs/>
          <w:sz w:val="20"/>
          <w:szCs w:val="20"/>
          <w:rtl/>
          <w:lang w:bidi="ar-EG"/>
        </w:rPr>
        <w:t xml:space="preserve">فقال أبو بكر: يا نبي الله هم بنو العم والعشيرة، أرى أن تأخذ منهم فدية، فتكون لنا قوة على الكفار، فعسى الله أن يهديهم للإسلام. فقال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w:t>
      </w:r>
      <w:r w:rsidRPr="00823011">
        <w:rPr>
          <w:rFonts w:asciiTheme="majorBidi" w:hAnsiTheme="majorBidi" w:cstheme="majorBidi"/>
          <w:b/>
          <w:bCs/>
          <w:color w:val="0000FF"/>
          <w:sz w:val="20"/>
          <w:szCs w:val="20"/>
          <w:rtl/>
          <w:lang w:bidi="ar-EG"/>
        </w:rPr>
        <w:t xml:space="preserve"> ((ما ترى يا بن الخطاب؟))</w:t>
      </w:r>
      <w:r w:rsidRPr="00823011">
        <w:rPr>
          <w:rFonts w:asciiTheme="majorBidi" w:hAnsiTheme="majorBidi" w:cstheme="majorBidi"/>
          <w:b/>
          <w:bCs/>
          <w:sz w:val="20"/>
          <w:szCs w:val="20"/>
          <w:rtl/>
          <w:lang w:bidi="ar-EG"/>
        </w:rPr>
        <w:t xml:space="preserve"> قلت: لا والله يا رسول الله، ما أرى الذي رأى أبو بكر، ولكني أرى أن تُمكِّنَّا فنضرب أعناقهم، فتمكن عليًّا من عُقيل فيضرب عنقه، وتمكني من فلان -يُريد نسيبًا له-</w:t>
      </w:r>
      <w:r w:rsidRPr="00823011">
        <w:rPr>
          <w:rFonts w:asciiTheme="majorBidi" w:hAnsiTheme="majorBidi" w:cstheme="majorBidi"/>
          <w:b/>
          <w:bCs/>
          <w:color w:val="0000FF"/>
          <w:sz w:val="20"/>
          <w:szCs w:val="20"/>
          <w:rtl/>
          <w:lang w:bidi="ar-EG"/>
        </w:rPr>
        <w:t xml:space="preserve"> </w:t>
      </w:r>
      <w:r w:rsidRPr="00823011">
        <w:rPr>
          <w:rFonts w:asciiTheme="majorBidi" w:hAnsiTheme="majorBidi" w:cstheme="majorBidi"/>
          <w:b/>
          <w:bCs/>
          <w:sz w:val="20"/>
          <w:szCs w:val="20"/>
          <w:rtl/>
          <w:lang w:bidi="ar-EG"/>
        </w:rPr>
        <w:t xml:space="preserve">فأضرب عنقه، فإن هؤلاء أئمة الكفر، وصناديدها. فهوى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ما قال أبو بكر، ولم يهوَ ما قال عمر، فلما كان من الغد جئت -أي: عمر- فإذا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w:t>
      </w:r>
      <w:r w:rsidRPr="00823011">
        <w:rPr>
          <w:rFonts w:asciiTheme="majorBidi" w:hAnsiTheme="majorBidi" w:cstheme="majorBidi"/>
          <w:b/>
          <w:bCs/>
          <w:spacing w:val="2"/>
          <w:sz w:val="20"/>
          <w:szCs w:val="20"/>
          <w:rtl/>
          <w:lang w:bidi="ar-EG"/>
        </w:rPr>
        <w:t xml:space="preserve">وأبو بكر قاعدين يبكيان، قلت -والقائل هو عمر: يا رسول الله أخبرني من أي شيء تبكي أنت وصاحبك، فإن </w:t>
      </w:r>
      <w:r w:rsidRPr="00823011">
        <w:rPr>
          <w:rFonts w:asciiTheme="majorBidi" w:hAnsiTheme="majorBidi" w:cstheme="majorBidi"/>
          <w:b/>
          <w:bCs/>
          <w:sz w:val="20"/>
          <w:szCs w:val="20"/>
          <w:rtl/>
          <w:lang w:bidi="ar-EG"/>
        </w:rPr>
        <w:t>وجدت بكاء بكيت، وإن لم أجد بكاء تباكيت لبكائكما، فقال رسول الله</w:t>
      </w:r>
      <w:r w:rsidRPr="00823011">
        <w:rPr>
          <w:rFonts w:asciiTheme="majorBidi" w:hAnsiTheme="majorBidi" w:cstheme="majorBidi"/>
          <w:b/>
          <w:bCs/>
          <w:spacing w:val="2"/>
          <w:sz w:val="20"/>
          <w:szCs w:val="20"/>
          <w:rtl/>
          <w:lang w:bidi="ar-EG"/>
        </w:rPr>
        <w:t xml:space="preserve"> </w:t>
      </w:r>
      <w:r w:rsidRPr="00823011">
        <w:rPr>
          <w:rFonts w:asciiTheme="majorBidi" w:hAnsiTheme="majorBidi" w:cstheme="majorBidi"/>
          <w:b/>
          <w:bCs/>
          <w:spacing w:val="2"/>
          <w:position w:val="-4"/>
          <w:sz w:val="20"/>
          <w:szCs w:val="20"/>
          <w:lang w:bidi="ar-EG"/>
        </w:rPr>
        <w:t></w:t>
      </w:r>
      <w:r w:rsidRPr="00823011">
        <w:rPr>
          <w:rFonts w:asciiTheme="majorBidi" w:hAnsiTheme="majorBidi" w:cstheme="majorBidi"/>
          <w:b/>
          <w:bCs/>
          <w:sz w:val="20"/>
          <w:szCs w:val="20"/>
          <w:rtl/>
          <w:lang w:bidi="ar-EG"/>
        </w:rPr>
        <w:t>:</w:t>
      </w:r>
      <w:r w:rsidRPr="00823011">
        <w:rPr>
          <w:rFonts w:asciiTheme="majorBidi" w:hAnsiTheme="majorBidi" w:cstheme="majorBidi"/>
          <w:b/>
          <w:bCs/>
          <w:color w:val="0000FF"/>
          <w:sz w:val="20"/>
          <w:szCs w:val="20"/>
          <w:rtl/>
          <w:lang w:bidi="ar-EG"/>
        </w:rPr>
        <w:t xml:space="preserve"> ((أبكي للذي عرض عليَّ أصحابك من أخذهم الفداء، لقد عُرض عليَّ عذابهم أدنى من هذه الشجرة، وأنزل الله </w:t>
      </w:r>
      <w:r w:rsidRPr="00823011">
        <w:rPr>
          <w:rFonts w:asciiTheme="majorBidi" w:hAnsiTheme="majorBidi" w:cstheme="majorBidi"/>
          <w:b/>
          <w:bCs/>
          <w:color w:val="0000FF"/>
          <w:position w:val="-4"/>
          <w:sz w:val="20"/>
          <w:szCs w:val="20"/>
          <w:lang w:bidi="ar-EG"/>
        </w:rPr>
        <w:t></w:t>
      </w:r>
      <w:r w:rsidRPr="00823011">
        <w:rPr>
          <w:rFonts w:asciiTheme="majorBidi" w:hAnsiTheme="majorBidi" w:cstheme="majorBidi"/>
          <w:b/>
          <w:bCs/>
          <w:color w:val="0000FF"/>
          <w:sz w:val="20"/>
          <w:szCs w:val="20"/>
          <w:rtl/>
          <w:lang w:bidi="ar-EG"/>
        </w:rPr>
        <w:t>:</w:t>
      </w:r>
      <w:r w:rsidRPr="00823011">
        <w:rPr>
          <w:rFonts w:ascii="Lotus Linotype" w:hAnsi="Lotus Linotype" w:cs="AL-Hotham"/>
          <w:b/>
          <w:bCs/>
          <w:color w:val="0000FF"/>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185" w:hAnsi="QCF_P185" w:cs="QCF_P185"/>
          <w:b/>
          <w:bCs/>
          <w:color w:val="008000"/>
          <w:sz w:val="20"/>
          <w:szCs w:val="20"/>
          <w:rtl/>
        </w:rPr>
        <w:t>ﯛ ﯜ ﯝ ﯞ ﯟ ﯠ ﯡ ﯢ ﯣ ﯤ ﯥ</w:t>
      </w:r>
      <w:r w:rsidRPr="00823011">
        <w:rPr>
          <w:rFonts w:ascii="QCF_P185" w:hAnsi="QCF_P185"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 xml:space="preserve">الأنفال: 67]. </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lang w:bidi="ar-EG"/>
        </w:rPr>
        <w:t>تأمل آية الأنفال المذكورة تجد فيها ظاهرة عجيبة، فإنها لم تنزل إلا بعد إطلاق أُسارى بدر، وقبول الفداء منهم، وقد بُدئت الآية بالتخطئة والاستنكار لهذه الفعلة، ثم لم تلبث أن خُتمت بإقرارها وتطييب النفوس بها، فهل الحالة النفسية التي يصدر عنها أول الكلام يُمكن أن يصدر عنها آخر الكلام، ولما تمضِ بينهما فترة تفصل بين زمجرة الغضب والندم، وبين ابتسامة الرضا والاستحسان. كلا، إن هذين الخاطرين لو فُرض صدورهما عن النفس متعاقبين؛ لكان الثاني منهما إضرابًا عن الأول ماحيًا له، فأيُّ داعٍ دعا إلى تصوير ذلك الخاطر، وتسجيله على ما فيه من تقريع علني، وتنغيص لهذه الطعمة التي يُراد جعلها حلالًا طيبًا.</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lang w:bidi="ar-EG"/>
        </w:rPr>
        <w:t>إن الذي يفهمه علماء النفس من قراءة هذا النص أن هاهنا ذاتين منفصلتين، وأن هذا صوت سيد يقول لعبده لقد أسأت، ولكني عفوت عنك، وأذنت لك.</w:t>
      </w:r>
    </w:p>
    <w:p w:rsidR="00823011" w:rsidRPr="00823011" w:rsidRDefault="00823011" w:rsidP="00823011">
      <w:pPr>
        <w:pStyle w:val="NormalWeb"/>
        <w:bidi/>
        <w:spacing w:before="0" w:beforeAutospacing="0" w:after="120" w:afterAutospacing="0"/>
        <w:jc w:val="both"/>
        <w:rPr>
          <w:rFonts w:asciiTheme="majorBidi" w:hAnsiTheme="majorBidi" w:cstheme="majorBidi"/>
          <w:b/>
          <w:bCs/>
          <w:sz w:val="20"/>
          <w:szCs w:val="20"/>
          <w:rtl/>
        </w:rPr>
      </w:pPr>
      <w:r w:rsidRPr="00823011">
        <w:rPr>
          <w:rFonts w:asciiTheme="majorBidi" w:hAnsiTheme="majorBidi" w:cstheme="majorBidi"/>
          <w:b/>
          <w:bCs/>
          <w:sz w:val="20"/>
          <w:szCs w:val="20"/>
          <w:rtl/>
          <w:lang w:bidi="ar-EG"/>
        </w:rPr>
        <w:t>ومثل ذلك 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194" w:hAnsi="QCF_P194" w:cs="QCF_P194"/>
          <w:b/>
          <w:bCs/>
          <w:color w:val="008000"/>
          <w:sz w:val="20"/>
          <w:szCs w:val="20"/>
          <w:rtl/>
        </w:rPr>
        <w:t>ﭻ ﭼ ﭽ ﭾ ﭿ ﮀ ﮁ ﮂ ﮃ ﮄ ﮅ ﮆ ﮇ</w:t>
      </w:r>
      <w:r w:rsidRPr="00823011">
        <w:rPr>
          <w:rFonts w:ascii="QCF_P194" w:hAnsi="QCF_P194"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Theme="majorBidi" w:hAnsiTheme="majorBidi" w:cstheme="majorBidi"/>
          <w:b/>
          <w:bCs/>
          <w:sz w:val="20"/>
          <w:szCs w:val="20"/>
          <w:rtl/>
          <w:lang w:bidi="ar-EG"/>
        </w:rPr>
        <w:t>[التوبة: 43]، ومثل ذلك 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423" w:hAnsi="QCF_P423" w:cs="QCF_P423"/>
          <w:b/>
          <w:bCs/>
          <w:color w:val="008000"/>
          <w:sz w:val="20"/>
          <w:szCs w:val="20"/>
          <w:rtl/>
        </w:rPr>
        <w:t>ﭫ ﭬ ﭭ ﭮ ﭯ ﭰ ﭱ ﭲ ﭳ ﭴ ﭵ ﭶ ﭷ ﭸ ﭹ ﭺ ﭻ ﭼ ﭽ ﭾ ﭿ ﮀ ﮁ ﮂ ﮃ</w:t>
      </w:r>
      <w:r w:rsidRPr="00823011">
        <w:rPr>
          <w:rFonts w:ascii="QCF_P423" w:hAnsi="QCF_P423"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الأحزاب: 37] عن مسروق -رحمه الله- قال: كنت متكئًا عند عائشة فسألتُ عائشة هل رأى محمد ربَّه؟ فقالت: سبحان الله قد قفَّ شعري مما قلت. يا أبا عائشة ثلاثٌ من تكلم بواحدة منهنَّ فقد أعظم على</w:t>
      </w:r>
      <w:r w:rsidRPr="00823011">
        <w:rPr>
          <w:rFonts w:ascii="Lotus Linotype" w:hAnsi="Lotus Linotype" w:cs="AL-Hotham"/>
          <w:b/>
          <w:bCs/>
          <w:sz w:val="20"/>
          <w:szCs w:val="20"/>
          <w:rtl/>
          <w:lang w:bidi="ar-EG"/>
        </w:rPr>
        <w:t xml:space="preserve"> </w:t>
      </w:r>
      <w:r w:rsidRPr="00823011">
        <w:rPr>
          <w:rFonts w:asciiTheme="majorBidi" w:hAnsiTheme="majorBidi" w:cstheme="majorBidi"/>
          <w:b/>
          <w:bCs/>
          <w:sz w:val="20"/>
          <w:szCs w:val="20"/>
          <w:rtl/>
          <w:lang w:bidi="ar-EG"/>
        </w:rPr>
        <w:t xml:space="preserve">الله الفرية. قلت: ما هن؟ قالت أي أم المؤمنين: من زعم أن محمدًا رأى ربه فقد أعظم على الله الفرية، وفي الحديث قالت: ومن زعم أن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كتم شيئًا من كتاب الله؛ فقد أعظم على الله الفرية، والله يقول:</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119" w:hAnsi="QCF_P119" w:cs="QCF_P119"/>
          <w:b/>
          <w:bCs/>
          <w:color w:val="008000"/>
          <w:sz w:val="20"/>
          <w:szCs w:val="20"/>
          <w:rtl/>
        </w:rPr>
        <w:t xml:space="preserve">ﭺ ﭻ ﭼ ﭽ ﭾ ﭿ ﮀ ﮁ ﮂ ﮃ </w:t>
      </w:r>
      <w:r w:rsidRPr="00823011">
        <w:rPr>
          <w:rFonts w:ascii="QCF_P119" w:hAnsi="QCF_P119" w:cs="QCF_P119"/>
          <w:b/>
          <w:bCs/>
          <w:color w:val="008000"/>
          <w:sz w:val="20"/>
          <w:szCs w:val="20"/>
          <w:rtl/>
        </w:rPr>
        <w:lastRenderedPageBreak/>
        <w:t>ﮄ ﮅ ﮆ ﮇ ﮈ</w:t>
      </w:r>
      <w:r w:rsidRPr="00823011">
        <w:rPr>
          <w:rFonts w:ascii="Lotus Linotype" w:hAnsi="Lotus Linotype" w:cs="DecoType Thuluth"/>
          <w:b/>
          <w:bCs/>
          <w:color w:val="008000"/>
          <w:sz w:val="20"/>
          <w:szCs w:val="20"/>
          <w:rtl/>
          <w:lang w:bidi="ar-EG"/>
        </w:rPr>
        <w:t>}</w:t>
      </w:r>
      <w:r w:rsidRPr="00823011">
        <w:rPr>
          <w:rFonts w:asciiTheme="majorBidi" w:hAnsiTheme="majorBidi" w:cstheme="majorBidi"/>
          <w:b/>
          <w:bCs/>
          <w:color w:val="008000"/>
          <w:sz w:val="20"/>
          <w:szCs w:val="20"/>
          <w:rtl/>
          <w:lang w:bidi="ar-EG"/>
        </w:rPr>
        <w:t xml:space="preserve"> </w:t>
      </w:r>
      <w:r w:rsidRPr="00823011">
        <w:rPr>
          <w:rFonts w:asciiTheme="majorBidi" w:hAnsiTheme="majorBidi" w:cstheme="majorBidi"/>
          <w:b/>
          <w:bCs/>
          <w:sz w:val="20"/>
          <w:szCs w:val="20"/>
          <w:rtl/>
          <w:lang w:bidi="ar-EG"/>
        </w:rPr>
        <w:t xml:space="preserve">[المائدة: 67]، ولو كان محمد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كاتمًا شيئًا مما أنزل عليه؛ لكتم هذه الآية:</w:t>
      </w:r>
      <w:r w:rsidRPr="00823011">
        <w:rPr>
          <w:rFonts w:ascii="Lotus Linotype" w:hAnsi="Lotus Linotype" w:cs="AL-Hotham"/>
          <w:b/>
          <w:bCs/>
          <w:color w:val="0000FF"/>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423" w:hAnsi="QCF_P423" w:cs="QCF_P423"/>
          <w:b/>
          <w:bCs/>
          <w:color w:val="008000"/>
          <w:sz w:val="20"/>
          <w:szCs w:val="20"/>
          <w:rtl/>
        </w:rPr>
        <w:t>ﭫ ﭬ ﭭ ﭮ ﭯ ﭰ ﭱ ﭲ ﭳ ﭴ ﭵ ﭶ ﭷ ﭸ ﭹ ﭺ ﭻ ﭼ ﭽ ﭾ ﭿ ﮀ ﮁ ﮂ ﮃ</w:t>
      </w:r>
      <w:r w:rsidRPr="00823011">
        <w:rPr>
          <w:rFonts w:ascii="QCF_P423" w:hAnsi="QCF_P423"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Theme="majorBidi" w:hAnsiTheme="majorBidi" w:cstheme="majorBidi"/>
          <w:b/>
          <w:bCs/>
          <w:sz w:val="20"/>
          <w:szCs w:val="20"/>
          <w:rtl/>
          <w:lang w:bidi="ar-EG"/>
        </w:rPr>
        <w:t>[الأحزاب: 37]</w:t>
      </w:r>
      <w:r w:rsidRPr="00823011">
        <w:rPr>
          <w:rFonts w:asciiTheme="majorBidi" w:hAnsiTheme="majorBidi" w:cstheme="majorBidi"/>
          <w:b/>
          <w:bCs/>
          <w:color w:val="0000FF"/>
          <w:sz w:val="20"/>
          <w:szCs w:val="20"/>
          <w:rtl/>
          <w:lang w:bidi="ar-EG"/>
        </w:rPr>
        <w:t xml:space="preserve"> </w:t>
      </w:r>
      <w:r w:rsidRPr="00823011">
        <w:rPr>
          <w:rFonts w:asciiTheme="majorBidi" w:hAnsiTheme="majorBidi" w:cstheme="majorBidi"/>
          <w:b/>
          <w:bCs/>
          <w:sz w:val="20"/>
          <w:szCs w:val="20"/>
          <w:rtl/>
          <w:lang w:bidi="ar-EG"/>
        </w:rPr>
        <w:t>قالت</w:t>
      </w:r>
      <w:r w:rsidRPr="00823011">
        <w:rPr>
          <w:rFonts w:asciiTheme="majorBidi" w:hAnsiTheme="majorBidi" w:cstheme="majorBidi"/>
          <w:b/>
          <w:bCs/>
          <w:color w:val="0000FF"/>
          <w:sz w:val="20"/>
          <w:szCs w:val="20"/>
          <w:rtl/>
          <w:lang w:bidi="ar-EG"/>
        </w:rPr>
        <w:t xml:space="preserve"> </w:t>
      </w:r>
      <w:r w:rsidRPr="00823011">
        <w:rPr>
          <w:rFonts w:asciiTheme="majorBidi" w:hAnsiTheme="majorBidi" w:cstheme="majorBidi"/>
          <w:b/>
          <w:bCs/>
          <w:sz w:val="20"/>
          <w:szCs w:val="20"/>
          <w:rtl/>
          <w:lang w:bidi="ar-EG"/>
        </w:rPr>
        <w:t>أم المؤمنين عائشة: ومن زعم أنه</w:t>
      </w:r>
      <w:r w:rsidRPr="00823011">
        <w:rPr>
          <w:rFonts w:asciiTheme="majorBidi" w:hAnsiTheme="majorBidi" w:cstheme="majorBidi"/>
          <w:b/>
          <w:bCs/>
          <w:color w:val="0000FF"/>
          <w:sz w:val="20"/>
          <w:szCs w:val="20"/>
          <w:rtl/>
          <w:lang w:bidi="ar-EG"/>
        </w:rPr>
        <w:t xml:space="preserve"> </w:t>
      </w:r>
      <w:r w:rsidRPr="00823011">
        <w:rPr>
          <w:rFonts w:asciiTheme="majorBidi" w:hAnsiTheme="majorBidi" w:cstheme="majorBidi"/>
          <w:b/>
          <w:bCs/>
          <w:sz w:val="20"/>
          <w:szCs w:val="20"/>
          <w:rtl/>
          <w:lang w:bidi="ar-EG"/>
        </w:rPr>
        <w:t xml:space="preserve">النبي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color w:val="0000FF"/>
          <w:sz w:val="20"/>
          <w:szCs w:val="20"/>
          <w:rtl/>
          <w:lang w:bidi="ar-EG"/>
        </w:rPr>
        <w:t xml:space="preserve"> </w:t>
      </w:r>
      <w:r w:rsidRPr="00823011">
        <w:rPr>
          <w:rFonts w:asciiTheme="majorBidi" w:hAnsiTheme="majorBidi" w:cstheme="majorBidi"/>
          <w:b/>
          <w:bCs/>
          <w:sz w:val="20"/>
          <w:szCs w:val="20"/>
          <w:rtl/>
          <w:lang w:bidi="ar-EG"/>
        </w:rPr>
        <w:t>يخبر بما يكون في غد فقد أعظم على الله الفرية، والله يقول:</w:t>
      </w:r>
      <w:r w:rsidRPr="00823011">
        <w:rPr>
          <w:rFonts w:ascii="Lotus Linotype" w:hAnsi="Lotus Linotype" w:cs="AL-Hotham"/>
          <w:b/>
          <w:bCs/>
          <w:color w:val="0000FF"/>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383" w:hAnsi="QCF_P383" w:cs="QCF_P383"/>
          <w:b/>
          <w:bCs/>
          <w:color w:val="008000"/>
          <w:sz w:val="20"/>
          <w:szCs w:val="20"/>
          <w:rtl/>
        </w:rPr>
        <w:t>ﭧ ﭨ ﭩ ﭪ ﭫ ﭬ ﭭ ﭮ ﭯ ﭰ</w:t>
      </w:r>
      <w:r w:rsidRPr="00823011">
        <w:rPr>
          <w:rFonts w:ascii="QCF_P383" w:hAnsi="QCF_P383"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Theme="majorBidi" w:hAnsiTheme="majorBidi" w:cstheme="majorBidi"/>
          <w:b/>
          <w:bCs/>
          <w:sz w:val="20"/>
          <w:szCs w:val="20"/>
          <w:rtl/>
          <w:lang w:bidi="ar-EG"/>
        </w:rPr>
        <w:t>[النمل: 65].</w:t>
      </w:r>
    </w:p>
    <w:p w:rsidR="00823011" w:rsidRPr="00823011" w:rsidRDefault="00823011" w:rsidP="00823011">
      <w:pPr>
        <w:pStyle w:val="NormalWeb"/>
        <w:bidi/>
        <w:spacing w:before="0" w:beforeAutospacing="0" w:after="120" w:afterAutospacing="0"/>
        <w:jc w:val="lowKashida"/>
        <w:rPr>
          <w:rFonts w:asciiTheme="majorBidi" w:hAnsiTheme="majorBidi" w:cstheme="majorBidi"/>
          <w:b/>
          <w:bCs/>
          <w:sz w:val="20"/>
          <w:szCs w:val="20"/>
          <w:rtl/>
        </w:rPr>
      </w:pPr>
      <w:r w:rsidRPr="00823011">
        <w:rPr>
          <w:rFonts w:asciiTheme="majorBidi" w:hAnsiTheme="majorBidi" w:cstheme="majorBidi"/>
          <w:b/>
          <w:bCs/>
          <w:sz w:val="20"/>
          <w:szCs w:val="20"/>
          <w:rtl/>
          <w:lang w:bidi="ar-EG"/>
        </w:rPr>
        <w:t xml:space="preserve">وعن أنس قال: جاء زيد بن حارثة يشكو، فجعل النبي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يقول: اتق الله، وأمسك عليك زوجك. قال أنس: لو كان رسول الله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كاتمًا شيئًا لكتم هذه الآية، قال: فكانت زينب تفخر على أزواج النبي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تقول: زوجكنَّ أهاليكن، وزوجني الله تعالى من فوق سبع سماوات.</w:t>
      </w:r>
    </w:p>
    <w:p w:rsidR="00823011" w:rsidRPr="00823011" w:rsidRDefault="00823011" w:rsidP="00823011">
      <w:pPr>
        <w:pStyle w:val="NormalWeb"/>
        <w:bidi/>
        <w:spacing w:before="0" w:beforeAutospacing="0" w:after="120" w:afterAutospacing="0"/>
        <w:jc w:val="both"/>
        <w:rPr>
          <w:rFonts w:asciiTheme="majorBidi" w:hAnsiTheme="majorBidi" w:cstheme="majorBidi"/>
          <w:b/>
          <w:bCs/>
          <w:sz w:val="20"/>
          <w:szCs w:val="20"/>
          <w:rtl/>
        </w:rPr>
      </w:pPr>
      <w:r w:rsidRPr="00823011">
        <w:rPr>
          <w:rFonts w:asciiTheme="majorBidi" w:hAnsiTheme="majorBidi" w:cstheme="majorBidi"/>
          <w:b/>
          <w:bCs/>
          <w:spacing w:val="4"/>
          <w:sz w:val="20"/>
          <w:szCs w:val="20"/>
          <w:rtl/>
          <w:lang w:bidi="ar-EG"/>
        </w:rPr>
        <w:t xml:space="preserve">يقول الدكتور محمد عبد الله دراز -رحمه الله- وهو يتكلم عن أدلَّة صدق النبي </w:t>
      </w:r>
      <w:r w:rsidRPr="00823011">
        <w:rPr>
          <w:rFonts w:asciiTheme="majorBidi" w:hAnsiTheme="majorBidi" w:cstheme="majorBidi"/>
          <w:b/>
          <w:bCs/>
          <w:spacing w:val="4"/>
          <w:position w:val="-4"/>
          <w:sz w:val="20"/>
          <w:szCs w:val="20"/>
          <w:lang w:bidi="ar-EG"/>
        </w:rPr>
        <w:t></w:t>
      </w:r>
      <w:r w:rsidRPr="00823011">
        <w:rPr>
          <w:rFonts w:asciiTheme="majorBidi" w:hAnsiTheme="majorBidi" w:cstheme="majorBidi"/>
          <w:b/>
          <w:bCs/>
          <w:sz w:val="20"/>
          <w:szCs w:val="20"/>
          <w:rtl/>
          <w:lang w:bidi="ar-EG"/>
        </w:rPr>
        <w:t>، فذكر أن من بين الأدلة على ذلك مخالفة القرآن لطبع الرسول، وعتابه الشديد له في عدد من المسائل المباحة، وأخرى كان يجيئه القول فيها على غير ما يُحبه النبي ويهواه، فيخطِّئه في الرأي يراه، ويأذن له في الشيء لا يميل إليه، فإذا تلبَّس فيه يسيرًا تلقاه القرآن بالتعنيف الشديد، والعتاب القاسي، والنقد المر حتى في أقلّ الأشياء خطرًا مثل 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560" w:hAnsi="QCF_P560" w:cs="QCF_P560"/>
          <w:b/>
          <w:bCs/>
          <w:color w:val="008000"/>
          <w:sz w:val="20"/>
          <w:szCs w:val="20"/>
          <w:rtl/>
        </w:rPr>
        <w:t>ﭑ ﭒ ﭓ ﭔ ﭕ ﭖ ﭗ ﭘ ﭙ ﭚ ﭛ ﭜ ﭝ ﭞ ﭟ ﭠ</w:t>
      </w:r>
      <w:r w:rsidRPr="00823011">
        <w:rPr>
          <w:rFonts w:ascii="QCF_P560" w:hAnsi="QCF_P560"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 xml:space="preserve">[التحريم: 1]، </w:t>
      </w:r>
      <w:r w:rsidRPr="00823011">
        <w:rPr>
          <w:rFonts w:ascii="Lotus Linotype" w:hAnsi="Lotus Linotype" w:cs="DecoType Thuluth"/>
          <w:b/>
          <w:bCs/>
          <w:color w:val="008000"/>
          <w:sz w:val="20"/>
          <w:szCs w:val="20"/>
          <w:rtl/>
          <w:lang w:bidi="ar-EG"/>
        </w:rPr>
        <w:t>{</w:t>
      </w:r>
      <w:r w:rsidRPr="00823011">
        <w:rPr>
          <w:rFonts w:ascii="QCF_P423" w:hAnsi="QCF_P423" w:cs="QCF_P423"/>
          <w:b/>
          <w:bCs/>
          <w:color w:val="008000"/>
          <w:sz w:val="20"/>
          <w:szCs w:val="20"/>
          <w:rtl/>
        </w:rPr>
        <w:t>ﭸ ﭹ ﭺ ﭻ ﭼ ﭽ ﭾ ﭿ ﮀ ﮁ ﮂ ﮃ</w:t>
      </w:r>
      <w:r w:rsidRPr="00823011">
        <w:rPr>
          <w:rFonts w:ascii="Lotus Linotype" w:hAnsi="Lotus Linotype" w:cs="DecoType Thuluth"/>
          <w:b/>
          <w:bCs/>
          <w:color w:val="008000"/>
          <w:sz w:val="20"/>
          <w:szCs w:val="20"/>
          <w:rtl/>
          <w:lang w:bidi="ar-EG"/>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الأحزاب: 37]، وكما في 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194" w:hAnsi="QCF_P194" w:cs="QCF_P194"/>
          <w:b/>
          <w:bCs/>
          <w:color w:val="008000"/>
          <w:sz w:val="20"/>
          <w:szCs w:val="20"/>
          <w:rtl/>
        </w:rPr>
        <w:t>ﭻ ﭼ ﭽ ﭾ ﭿ ﮀ ﮁ ﮂ ﮃ ﮄ ﮅ ﮆ ﮇ</w:t>
      </w:r>
      <w:r w:rsidRPr="00823011">
        <w:rPr>
          <w:rFonts w:ascii="QCF_P194" w:hAnsi="QCF_P194"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Theme="majorBidi" w:hAnsiTheme="majorBidi" w:cstheme="majorBidi"/>
          <w:b/>
          <w:bCs/>
          <w:sz w:val="20"/>
          <w:szCs w:val="20"/>
          <w:rtl/>
          <w:lang w:bidi="ar-EG"/>
        </w:rPr>
        <w:t>[التوبة: 43]، وقوله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205" w:hAnsi="QCF_P205" w:cs="QCF_P205"/>
          <w:b/>
          <w:bCs/>
          <w:color w:val="008000"/>
          <w:sz w:val="20"/>
          <w:szCs w:val="20"/>
          <w:rtl/>
        </w:rPr>
        <w:t>ﭣ ﭤ ﭥ ﭦ ﭧ ﭨ ﭩ ﭪ ﭫ ﭬ ﭭ ﭮ ﭯ ﭰ ﭱ ﭲ ﭳ ﭴ ﭵ ﭶ</w:t>
      </w:r>
      <w:r w:rsidRPr="00823011">
        <w:rPr>
          <w:rFonts w:ascii="QCF_P205" w:hAnsi="QCF_P205"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التوبة: 113]، وكما في قوله تعالى</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585" w:hAnsi="QCF_P585" w:cs="QCF_P585"/>
          <w:b/>
          <w:bCs/>
          <w:color w:val="008000"/>
          <w:sz w:val="20"/>
          <w:szCs w:val="20"/>
          <w:rtl/>
        </w:rPr>
        <w:t xml:space="preserve">ﭑ ﭒ ﭓﭔ ﭕ ﭖ ﭗﭘ ﭙ ﭚ </w:t>
      </w:r>
      <w:r w:rsidRPr="00823011">
        <w:rPr>
          <w:rFonts w:ascii="QCF_P585" w:hAnsi="QCF_P585" w:cs="QCF_P585"/>
          <w:b/>
          <w:bCs/>
          <w:color w:val="008000"/>
          <w:spacing w:val="-6"/>
          <w:sz w:val="20"/>
          <w:szCs w:val="20"/>
          <w:rtl/>
        </w:rPr>
        <w:t>ﭛ ﭜﭝ ﭞ ﭟ ﭠ ﭡﭢ ﭣ ﭤ ﭥﭦ ﭧ ﭨ ﭩﭪ ﭫ ﭬ ﭭ ﭮ</w:t>
      </w:r>
      <w:r w:rsidRPr="00823011">
        <w:rPr>
          <w:rFonts w:ascii="QCF_P585" w:hAnsi="QCF_P585" w:cs="QCF_P585" w:hint="cs"/>
          <w:b/>
          <w:bCs/>
          <w:color w:val="008000"/>
          <w:sz w:val="20"/>
          <w:szCs w:val="20"/>
          <w:rtl/>
        </w:rPr>
        <w:t xml:space="preserve"> </w:t>
      </w:r>
      <w:r w:rsidRPr="00823011">
        <w:rPr>
          <w:rFonts w:ascii="QCF_P585" w:hAnsi="QCF_P585" w:cs="QCF_P585"/>
          <w:b/>
          <w:bCs/>
          <w:color w:val="008000"/>
          <w:sz w:val="20"/>
          <w:szCs w:val="20"/>
          <w:rtl/>
        </w:rPr>
        <w:t>ﭯ ﭰ ﭱ ﭲ ﭳﭴ ﭵ ﭶﭷ ﭸ ﭹ</w:t>
      </w:r>
      <w:r w:rsidRPr="00823011">
        <w:rPr>
          <w:rFonts w:ascii="QCF_P585" w:hAnsi="QCF_P585"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عبس:1: 10].</w:t>
      </w:r>
    </w:p>
    <w:p w:rsidR="00823011" w:rsidRPr="00823011" w:rsidRDefault="00823011" w:rsidP="00823011">
      <w:pPr>
        <w:pStyle w:val="NormalWeb"/>
        <w:bidi/>
        <w:spacing w:before="0" w:beforeAutospacing="0" w:after="120" w:afterAutospacing="0"/>
        <w:jc w:val="lowKashida"/>
        <w:rPr>
          <w:rFonts w:ascii="Lotus Linotype" w:hAnsi="Lotus Linotype" w:cs="AL-Hotham"/>
          <w:b/>
          <w:bCs/>
          <w:sz w:val="20"/>
          <w:szCs w:val="20"/>
          <w:rtl/>
        </w:rPr>
      </w:pPr>
      <w:r w:rsidRPr="00823011">
        <w:rPr>
          <w:rFonts w:asciiTheme="majorBidi" w:hAnsiTheme="majorBidi" w:cstheme="majorBidi"/>
          <w:b/>
          <w:bCs/>
          <w:sz w:val="20"/>
          <w:szCs w:val="20"/>
          <w:rtl/>
          <w:lang w:bidi="ar-EG"/>
        </w:rPr>
        <w:t xml:space="preserve">أرأيت لو كان هذا العتاب صادرًا عن وجدان النبي </w:t>
      </w:r>
      <w:r w:rsidRPr="00823011">
        <w:rPr>
          <w:rFonts w:asciiTheme="majorBidi" w:hAnsiTheme="majorBidi" w:cstheme="majorBidi"/>
          <w:b/>
          <w:bCs/>
          <w:position w:val="-4"/>
          <w:sz w:val="20"/>
          <w:szCs w:val="20"/>
          <w:lang w:bidi="ar-EG"/>
        </w:rPr>
        <w:t></w:t>
      </w:r>
      <w:r w:rsidRPr="00823011">
        <w:rPr>
          <w:rFonts w:asciiTheme="majorBidi" w:hAnsiTheme="majorBidi" w:cstheme="majorBidi"/>
          <w:b/>
          <w:bCs/>
          <w:sz w:val="20"/>
          <w:szCs w:val="20"/>
          <w:rtl/>
          <w:lang w:bidi="ar-EG"/>
        </w:rPr>
        <w:t xml:space="preserve">، مُعبرًا عن ندمه، ووخز ضميره حين بدا له خلاف ما فعله، أكان يعلنها عن نفسه بهذا التهوين، ألم يكن له في السكوت عنها سترٌ على نفسه، واستبقاء لحرمة آرائه؛ بل إن هذا القرآن لو كان يفيض عن وجدانه لكان يستطيع عند </w:t>
      </w:r>
      <w:r w:rsidRPr="00823011">
        <w:rPr>
          <w:rFonts w:asciiTheme="majorBidi" w:hAnsiTheme="majorBidi" w:cstheme="majorBidi"/>
          <w:b/>
          <w:bCs/>
          <w:sz w:val="20"/>
          <w:szCs w:val="20"/>
          <w:rtl/>
          <w:lang w:bidi="ar-EG"/>
        </w:rPr>
        <w:lastRenderedPageBreak/>
        <w:t>الحاجة أن يكتم شيئًا من ذلك الوجدان، ولو كان كاتمًا شيئًا لكتم أمثال هذه الآيات، ولكنه الوحي لا يستطيع كتمانه</w:t>
      </w:r>
      <w:r w:rsidRPr="00823011">
        <w:rPr>
          <w:rFonts w:ascii="Lotus Linotype" w:hAnsi="Lotus Linotype" w:cs="AL-Hotham"/>
          <w:b/>
          <w:bCs/>
          <w:sz w:val="20"/>
          <w:szCs w:val="20"/>
          <w:rtl/>
          <w:lang w:bidi="ar-EG"/>
        </w:rPr>
        <w:t xml:space="preserve"> </w:t>
      </w:r>
      <w:r w:rsidRPr="00823011">
        <w:rPr>
          <w:rFonts w:ascii="Lotus Linotype" w:hAnsi="Lotus Linotype" w:cs="DecoType Thuluth"/>
          <w:b/>
          <w:bCs/>
          <w:color w:val="008000"/>
          <w:sz w:val="20"/>
          <w:szCs w:val="20"/>
          <w:rtl/>
          <w:lang w:bidi="ar-EG"/>
        </w:rPr>
        <w:t>{</w:t>
      </w:r>
      <w:r w:rsidRPr="00823011">
        <w:rPr>
          <w:rFonts w:ascii="QCF_P586" w:hAnsi="QCF_P586" w:cs="QCF_P586"/>
          <w:b/>
          <w:bCs/>
          <w:color w:val="008000"/>
          <w:sz w:val="20"/>
          <w:szCs w:val="20"/>
          <w:rtl/>
        </w:rPr>
        <w:t>ﯓ ﯔ ﯕ ﯖ ﯗ</w:t>
      </w:r>
      <w:r w:rsidRPr="00823011">
        <w:rPr>
          <w:rFonts w:ascii="QCF_P586" w:hAnsi="QCF_P586" w:cs="DecoType Thuluth"/>
          <w:b/>
          <w:bCs/>
          <w:color w:val="008000"/>
          <w:sz w:val="20"/>
          <w:szCs w:val="20"/>
          <w:rtl/>
        </w:rPr>
        <w:t>}</w:t>
      </w:r>
      <w:r w:rsidRPr="00823011">
        <w:rPr>
          <w:rFonts w:ascii="Lotus Linotype" w:hAnsi="Lotus Linotype" w:cs="AL-Hotham"/>
          <w:b/>
          <w:bCs/>
          <w:color w:val="008000"/>
          <w:sz w:val="20"/>
          <w:szCs w:val="20"/>
          <w:rtl/>
          <w:lang w:bidi="ar-EG"/>
        </w:rPr>
        <w:t xml:space="preserve"> </w:t>
      </w:r>
      <w:r w:rsidRPr="00823011">
        <w:rPr>
          <w:rFonts w:ascii="Lotus Linotype" w:hAnsi="Lotus Linotype" w:cs="AL-Hotham"/>
          <w:b/>
          <w:bCs/>
          <w:sz w:val="20"/>
          <w:szCs w:val="20"/>
          <w:rtl/>
          <w:lang w:bidi="ar-EG"/>
        </w:rPr>
        <w:t>[</w:t>
      </w:r>
      <w:r w:rsidRPr="00823011">
        <w:rPr>
          <w:rFonts w:asciiTheme="majorBidi" w:hAnsiTheme="majorBidi" w:cstheme="majorBidi"/>
          <w:b/>
          <w:bCs/>
          <w:sz w:val="20"/>
          <w:szCs w:val="20"/>
          <w:rtl/>
          <w:lang w:bidi="ar-EG"/>
        </w:rPr>
        <w:t>التكوير: 24]، وقد أقرَّ بهذا الدليل بعض المستشرقين قال أحدهم: "أوحى الله إلى النبي وحيًا شديد المؤاخذة؛ لأنه أدار وجهه عن رجل فقير أعمى ليخاطب رجلًا غنيًّا من ذوي النفوذ، وقد نشر النبي ذلك الوحي، فلو كان محمد كاذبًا -كما يقول أغبياء النصارى بحقه- لما كان لذلك الوحي من وجود".</w:t>
      </w:r>
    </w:p>
    <w:p w:rsidR="00823011" w:rsidRPr="00823011" w:rsidRDefault="00823011" w:rsidP="00823011">
      <w:pPr>
        <w:spacing w:after="120" w:line="240" w:lineRule="auto"/>
        <w:jc w:val="center"/>
        <w:rPr>
          <w:rFonts w:asciiTheme="majorBidi" w:hAnsiTheme="majorBidi" w:cstheme="majorBidi"/>
          <w:b/>
          <w:bCs/>
          <w:sz w:val="20"/>
          <w:szCs w:val="20"/>
          <w:rtl/>
        </w:rPr>
      </w:pPr>
      <w:r w:rsidRPr="00823011">
        <w:rPr>
          <w:rFonts w:asciiTheme="majorBidi" w:hAnsiTheme="majorBidi" w:cstheme="majorBidi"/>
          <w:b/>
          <w:bCs/>
          <w:sz w:val="20"/>
          <w:szCs w:val="20"/>
          <w:rtl/>
        </w:rPr>
        <w:t>ال</w:t>
      </w:r>
      <w:r w:rsidRPr="00823011">
        <w:rPr>
          <w:rFonts w:asciiTheme="majorBidi" w:hAnsiTheme="majorBidi" w:cstheme="majorBidi" w:hint="cs"/>
          <w:b/>
          <w:bCs/>
          <w:sz w:val="20"/>
          <w:szCs w:val="20"/>
          <w:rtl/>
        </w:rPr>
        <w:t>م</w:t>
      </w:r>
      <w:r w:rsidRPr="00823011">
        <w:rPr>
          <w:rFonts w:asciiTheme="majorBidi" w:hAnsiTheme="majorBidi" w:cstheme="majorBidi"/>
          <w:b/>
          <w:bCs/>
          <w:sz w:val="20"/>
          <w:szCs w:val="20"/>
          <w:rtl/>
        </w:rPr>
        <w:t>صادر والمراجع</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tl/>
        </w:rPr>
      </w:pPr>
      <w:r w:rsidRPr="0082301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tl/>
        </w:rPr>
      </w:pPr>
      <w:r w:rsidRPr="0082301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tl/>
        </w:rPr>
      </w:pPr>
      <w:r w:rsidRPr="00823011">
        <w:rPr>
          <w:rFonts w:asciiTheme="majorBidi" w:hAnsiTheme="majorBidi" w:cstheme="majorBidi"/>
          <w:b/>
          <w:bCs/>
          <w:sz w:val="20"/>
          <w:szCs w:val="20"/>
          <w:rtl/>
        </w:rPr>
        <w:t>أبي داود، ابن أبي داود، تحقيق: محب الدين واعظ، (المصاحف) ، دار البشائر الإسلامية، 2002م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tl/>
        </w:rPr>
      </w:pPr>
      <w:r w:rsidRPr="0082301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tl/>
        </w:rPr>
      </w:pPr>
      <w:r w:rsidRPr="0082301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أبو زهرة، محمد أبو زهرة، (المعجزة الكبرى القرآن)  ، دار طيب للنشر، 2003م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23011" w:rsidRPr="00823011" w:rsidRDefault="00823011" w:rsidP="00823011">
      <w:pPr>
        <w:numPr>
          <w:ilvl w:val="0"/>
          <w:numId w:val="2"/>
        </w:numPr>
        <w:spacing w:after="120" w:line="240" w:lineRule="auto"/>
        <w:jc w:val="lowKashida"/>
        <w:rPr>
          <w:rFonts w:asciiTheme="majorBidi" w:hAnsiTheme="majorBidi" w:cstheme="majorBidi"/>
          <w:b/>
          <w:bCs/>
          <w:sz w:val="20"/>
          <w:szCs w:val="20"/>
        </w:rPr>
      </w:pPr>
      <w:r w:rsidRPr="0082301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823011" w:rsidRDefault="00823011">
      <w:pPr>
        <w:rPr>
          <w:rtl/>
        </w:rPr>
        <w:sectPr w:rsidR="00823011" w:rsidSect="00823011">
          <w:type w:val="continuous"/>
          <w:pgSz w:w="11906" w:h="16838"/>
          <w:pgMar w:top="964" w:right="1021" w:bottom="964" w:left="1021" w:header="709" w:footer="709" w:gutter="0"/>
          <w:cols w:num="2" w:space="708"/>
          <w:bidi/>
          <w:rtlGutter/>
          <w:docGrid w:linePitch="360"/>
        </w:sectPr>
      </w:pPr>
    </w:p>
    <w:p w:rsidR="009556CB" w:rsidRPr="00823011" w:rsidRDefault="009556CB"/>
    <w:sectPr w:rsidR="009556CB" w:rsidRPr="00823011" w:rsidSect="0082301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85">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275A070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23011"/>
    <w:rsid w:val="000037C1"/>
    <w:rsid w:val="00117E83"/>
    <w:rsid w:val="00514443"/>
    <w:rsid w:val="00823011"/>
    <w:rsid w:val="009556CB"/>
    <w:rsid w:val="00982C7F"/>
    <w:rsid w:val="00A458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2301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2301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30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2013-06-22T14:05:00Z</dcterms:created>
  <dcterms:modified xsi:type="dcterms:W3CDTF">2013-06-26T22:16:00Z</dcterms:modified>
</cp:coreProperties>
</file>