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2FB" w:rsidRDefault="008F0C4C" w:rsidP="00581842">
      <w:pPr>
        <w:jc w:val="center"/>
        <w:rPr>
          <w:sz w:val="52"/>
          <w:szCs w:val="52"/>
          <w:rtl/>
        </w:rPr>
      </w:pPr>
      <w:r>
        <w:rPr>
          <w:rFonts w:cs="AL-Mateen" w:hint="cs"/>
          <w:sz w:val="52"/>
          <w:szCs w:val="52"/>
          <w:rtl/>
        </w:rPr>
        <w:t xml:space="preserve">حكم </w:t>
      </w:r>
      <w:r w:rsidR="00581842" w:rsidRPr="00581842">
        <w:rPr>
          <w:rFonts w:cs="AL-Mateen" w:hint="cs"/>
          <w:sz w:val="52"/>
          <w:szCs w:val="52"/>
          <w:rtl/>
        </w:rPr>
        <w:t>تخفيف الهمز</w:t>
      </w:r>
    </w:p>
    <w:p w:rsidR="00581842" w:rsidRPr="007E1CFD" w:rsidRDefault="00581842" w:rsidP="00581842">
      <w:pPr>
        <w:spacing w:line="500" w:lineRule="exact"/>
        <w:jc w:val="center"/>
        <w:rPr>
          <w:rFonts w:ascii="Calibri" w:eastAsia="Calibri" w:hAnsi="Calibri" w:cs="AGA Rasheeq Bold"/>
          <w:color w:val="4F81BD"/>
          <w:sz w:val="40"/>
          <w:szCs w:val="40"/>
          <w:rtl/>
        </w:rPr>
      </w:pPr>
      <w:r>
        <w:rPr>
          <w:rFonts w:hint="cs"/>
          <w:i/>
          <w:iCs/>
          <w:rtl/>
        </w:rPr>
        <w:t>مبحث فى</w:t>
      </w:r>
      <w:r w:rsidRPr="007E1CFD">
        <w:rPr>
          <w:rFonts w:hint="cs"/>
          <w:i/>
          <w:iCs/>
          <w:sz w:val="18"/>
          <w:szCs w:val="18"/>
          <w:rtl/>
        </w:rPr>
        <w:t xml:space="preserve"> </w:t>
      </w:r>
      <w:r w:rsidRPr="007E1CFD">
        <w:rPr>
          <w:rFonts w:ascii="Calibri" w:eastAsia="Calibri" w:hAnsi="Calibri" w:cs="AGA Rasheeq Bold" w:hint="cs"/>
          <w:sz w:val="18"/>
          <w:szCs w:val="18"/>
          <w:rtl/>
        </w:rPr>
        <w:t>مدخل إلى علوم القرآن</w:t>
      </w:r>
    </w:p>
    <w:p w:rsidR="00581842" w:rsidRDefault="00581842" w:rsidP="008F0C4C">
      <w:pPr>
        <w:pStyle w:val="Affiliation"/>
        <w:bidi/>
        <w:rPr>
          <w:rFonts w:eastAsia="Times New Roman"/>
        </w:rPr>
      </w:pPr>
      <w:r w:rsidRPr="008F0C4C">
        <w:rPr>
          <w:rFonts w:eastAsia="Times New Roman" w:hint="cs"/>
          <w:rtl/>
        </w:rPr>
        <w:t xml:space="preserve">إعداد / </w:t>
      </w:r>
      <w:r w:rsidR="008F0C4C" w:rsidRPr="008F0C4C">
        <w:rPr>
          <w:rFonts w:eastAsia="Times New Roman" w:hint="cs"/>
          <w:rtl/>
        </w:rPr>
        <w:t xml:space="preserve">أحمد عبد الحميد مهدى  </w:t>
      </w:r>
    </w:p>
    <w:p w:rsidR="00581842" w:rsidRDefault="00581842" w:rsidP="00581842">
      <w:pPr>
        <w:pStyle w:val="Affiliation"/>
        <w:bidi/>
        <w:rPr>
          <w:rFonts w:eastAsia="Times New Roman"/>
        </w:rPr>
      </w:pPr>
      <w:r w:rsidRPr="008F0C4C">
        <w:rPr>
          <w:rFonts w:eastAsia="Times New Roman" w:hint="cs"/>
          <w:rtl/>
        </w:rPr>
        <w:t>قسم الدعوة وأصول الدين</w:t>
      </w:r>
    </w:p>
    <w:p w:rsidR="00581842" w:rsidRPr="008F0C4C" w:rsidRDefault="00581842" w:rsidP="00581842">
      <w:pPr>
        <w:pStyle w:val="Affiliation"/>
        <w:bidi/>
        <w:rPr>
          <w:rFonts w:eastAsia="Times New Roman"/>
        </w:rPr>
      </w:pPr>
      <w:r w:rsidRPr="008F0C4C">
        <w:rPr>
          <w:rFonts w:eastAsia="Times New Roman" w:hint="cs"/>
          <w:rtl/>
        </w:rPr>
        <w:t xml:space="preserve">كلية العلوم الإسلامية </w:t>
      </w:r>
      <w:r w:rsidRPr="008F0C4C">
        <w:rPr>
          <w:rFonts w:eastAsia="Times New Roman"/>
          <w:rtl/>
        </w:rPr>
        <w:t>–</w:t>
      </w:r>
      <w:r w:rsidRPr="008F0C4C">
        <w:rPr>
          <w:rFonts w:eastAsia="Times New Roman" w:hint="cs"/>
          <w:rtl/>
        </w:rPr>
        <w:t xml:space="preserve"> جامعة المدينة العالمية</w:t>
      </w:r>
      <w:r w:rsidRPr="008F0C4C">
        <w:rPr>
          <w:rFonts w:eastAsia="Times New Roman"/>
        </w:rPr>
        <w:t xml:space="preserve"> </w:t>
      </w:r>
    </w:p>
    <w:p w:rsidR="00581842" w:rsidRPr="008F0C4C" w:rsidRDefault="00581842" w:rsidP="00581842">
      <w:pPr>
        <w:pStyle w:val="Affiliation"/>
        <w:bidi/>
        <w:rPr>
          <w:rFonts w:eastAsia="Times New Roman"/>
          <w:rtl/>
        </w:rPr>
      </w:pPr>
      <w:r w:rsidRPr="008F0C4C">
        <w:rPr>
          <w:rFonts w:eastAsia="Times New Roman" w:hint="cs"/>
          <w:rtl/>
        </w:rPr>
        <w:t>شاه علم - ماليزيا</w:t>
      </w:r>
    </w:p>
    <w:p w:rsidR="00581842" w:rsidRPr="008F0C4C" w:rsidRDefault="008F0C4C" w:rsidP="008F0C4C">
      <w:pPr>
        <w:pStyle w:val="Affiliation"/>
        <w:bidi/>
        <w:rPr>
          <w:rFonts w:eastAsia="Times New Roman"/>
          <w:rtl/>
        </w:rPr>
      </w:pPr>
      <w:hyperlink r:id="rId5" w:history="1">
        <w:r w:rsidRPr="008F0C4C">
          <w:rPr>
            <w:rFonts w:eastAsia="Times New Roman"/>
          </w:rPr>
          <w:t>ahmed.mahdey@mediu.ws</w:t>
        </w:r>
      </w:hyperlink>
    </w:p>
    <w:p w:rsidR="00581842" w:rsidRDefault="00581842" w:rsidP="00581842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  <w:sectPr w:rsidR="00581842" w:rsidSect="005C15CC">
          <w:pgSz w:w="11906" w:h="16838"/>
          <w:pgMar w:top="1440" w:right="1440" w:bottom="1440" w:left="1440" w:header="720" w:footer="720" w:gutter="0"/>
          <w:cols w:space="720"/>
          <w:bidi/>
          <w:rtlGutter/>
          <w:docGrid w:linePitch="360"/>
        </w:sectPr>
      </w:pPr>
    </w:p>
    <w:p w:rsidR="00581842" w:rsidRPr="00581842" w:rsidRDefault="00581842" w:rsidP="00581842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تخفيف الهمز</w:t>
      </w:r>
    </w:p>
    <w:p w:rsidR="00581842" w:rsidRPr="00581842" w:rsidRDefault="00581842" w:rsidP="00581842">
      <w:pPr>
        <w:spacing w:before="60" w:line="240" w:lineRule="auto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الكلمات المفتاحية –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أثقل</w:t>
      </w:r>
      <w:r w:rsidRPr="00581842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مخرجا</w:t>
      </w:r>
      <w:r w:rsidRPr="00581842">
        <w:rPr>
          <w:rFonts w:asciiTheme="majorBidi" w:eastAsia="Calibri" w:hAnsiTheme="majorBidi" w:cstheme="majorBidi"/>
          <w:b/>
          <w:bCs/>
          <w:sz w:val="18"/>
          <w:szCs w:val="18"/>
          <w:rtl/>
        </w:rPr>
        <w:t xml:space="preserve">،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التخفيف</w:t>
      </w:r>
    </w:p>
    <w:p w:rsidR="00581842" w:rsidRPr="00581842" w:rsidRDefault="00581842" w:rsidP="00581842">
      <w:pPr>
        <w:pStyle w:val="ListParagraph"/>
        <w:numPr>
          <w:ilvl w:val="0"/>
          <w:numId w:val="2"/>
        </w:numPr>
        <w:spacing w:before="60" w:line="240" w:lineRule="auto"/>
        <w:ind w:left="19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581842" w:rsidRPr="00581842" w:rsidRDefault="00581842" w:rsidP="00581842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تخفيف الهمز</w:t>
      </w:r>
    </w:p>
    <w:p w:rsidR="00581842" w:rsidRPr="00581842" w:rsidRDefault="00581842" w:rsidP="00581842">
      <w:pPr>
        <w:pStyle w:val="ListParagraph"/>
        <w:numPr>
          <w:ilvl w:val="0"/>
          <w:numId w:val="3"/>
        </w:numPr>
        <w:spacing w:line="240" w:lineRule="auto"/>
        <w:ind w:left="19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>
        <w:rPr>
          <w:rFonts w:asciiTheme="majorBidi" w:hAnsiTheme="majorBidi" w:cstheme="majorBidi" w:hint="cs"/>
          <w:b/>
          <w:bCs/>
          <w:sz w:val="18"/>
          <w:szCs w:val="18"/>
          <w:rtl/>
        </w:rPr>
        <w:t>.</w:t>
      </w: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581842" w:rsidRPr="00581842" w:rsidRDefault="00581842" w:rsidP="00581842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قال السيوطي: "اعلم أنّ الهمز لما كان أثقل الحروف نطقًا، وأبعدها مخرجًا، تنوّع العرب في تخفيفه بأنواع التخفيف. وكانت قريش وأهل الحجاز أكثرهم له تخفيفًا؛ ولذلك أكثر ما يَرِد تخفيفه من طُرقهم: كابن كثير من رواية ابن فليح، وكنافع من رواية ورش، وكأبي عمرو؛ فإن مادة قراءته عن أهل الحجاز. </w:t>
      </w:r>
    </w:p>
    <w:p w:rsidR="00581842" w:rsidRPr="00581842" w:rsidRDefault="00581842" w:rsidP="00581842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وقد أخرج ابن عدي عن ابن عمر قال: "ما همز رسول الله </w:t>
      </w:r>
      <w:r w:rsidRPr="00581842">
        <w:rPr>
          <w:rFonts w:asciiTheme="majorBidi" w:hAnsiTheme="majorBidi" w:cstheme="majorBidi"/>
          <w:b/>
          <w:bCs/>
          <w:position w:val="-4"/>
          <w:sz w:val="18"/>
          <w:szCs w:val="18"/>
        </w:rPr>
        <w:sym w:font="AGA Arabesque" w:char="F065"/>
      </w:r>
      <w:r w:rsidRPr="00581842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 xml:space="preserve">، ولا أبو بكر، ولا عمر، ولا الخلفاء؛ وإنما الهمز بدعة ابتدعوها مِن بَعدهم". </w:t>
      </w:r>
    </w:p>
    <w:p w:rsidR="00581842" w:rsidRPr="00581842" w:rsidRDefault="00581842" w:rsidP="00581842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قال أبو شامة: "هذا حديث لا يحتج به، وموسى بن عبيدة الربذي ضعيف عند أئمة الحديث".</w:t>
      </w:r>
    </w:p>
    <w:p w:rsidR="00581842" w:rsidRPr="00581842" w:rsidRDefault="00581842" w:rsidP="00581842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وأحكام الهمز كثيرة، وتحقيقه أربعة أنواع: </w:t>
      </w:r>
    </w:p>
    <w:p w:rsidR="00581842" w:rsidRPr="00581842" w:rsidRDefault="00581842" w:rsidP="00581842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أحدها:</w:t>
      </w:r>
      <w:r w:rsidRPr="00581842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 xml:space="preserve"> النقل لحركته إلى الساكن قبله فيسقط، نحو: </w:t>
      </w: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{ﭑ ﭒ} [المؤمنون: 1] </w:t>
      </w:r>
      <w:r w:rsidRPr="00581842">
        <w:rPr>
          <w:rFonts w:asciiTheme="majorBidi" w:hAnsiTheme="majorBidi" w:cstheme="majorBidi"/>
          <w:b/>
          <w:bCs/>
          <w:spacing w:val="-6"/>
          <w:sz w:val="18"/>
          <w:szCs w:val="18"/>
          <w:rtl/>
        </w:rPr>
        <w:t>بفتح الدال؛ وبه قرأ نافع من طريق ورش، وذلك حيث كان الساكن صحيحًا آخرًا والهمزة أوّلًا.</w:t>
      </w:r>
    </w:p>
    <w:p w:rsidR="00581842" w:rsidRPr="00581842" w:rsidRDefault="00581842" w:rsidP="00581842">
      <w:pPr>
        <w:pStyle w:val="NormalWeb"/>
        <w:bidi/>
        <w:spacing w:after="120"/>
        <w:ind w:left="720" w:right="0" w:hanging="7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ثانيها: الإبدال بأن تُبدل الهمزة الساكنة حرف مدّ من جنس حركة ما قبلها. فتبدل ألفًا بعد الفتح، نحو: {ﮰ ﮱ} [طه: 132]، وواوًا بعد الضم نحو: {ﮚ} [الأنبياء: 6]، وياء بعد الكسر نحو: "جِيتَ"؛ وبه يقرأ أبو عمرو، وورش عن نافع، وحمزة عند الوقف، على تفصيل في ذلك.</w:t>
      </w:r>
    </w:p>
    <w:p w:rsidR="00581842" w:rsidRPr="00581842" w:rsidRDefault="00581842" w:rsidP="00581842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ثالثها: التسهيل بينها وبين حركتها، على تفصيل عند القراء. فمنهم: من يدخل بينهما ألفًا. ومنهم: من لا يدخل. ومنهم: من يحققهما.</w:t>
      </w:r>
    </w:p>
    <w:p w:rsidR="00581842" w:rsidRPr="00581842" w:rsidRDefault="00581842" w:rsidP="00581842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رابعها: الإسقاط بلا نقل، وفيه تفصيل أيضًا، مكانه كتب القراءات. </w:t>
      </w:r>
    </w:p>
    <w:p w:rsidR="00581842" w:rsidRPr="00581842" w:rsidRDefault="00581842" w:rsidP="00581842">
      <w:pPr>
        <w:spacing w:after="120" w:line="240" w:lineRule="auto"/>
        <w:ind w:left="720" w:hanging="720"/>
        <w:jc w:val="lowKashida"/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pacing w:val="-10"/>
          <w:sz w:val="18"/>
          <w:szCs w:val="18"/>
          <w:rtl/>
        </w:rPr>
        <w:t>وهناك أبواب تتعلق بأداء اللفظ، لم يتعرض لها السيوطي في (الإتقان)، على سعة كتابه.</w:t>
      </w:r>
    </w:p>
    <w:p w:rsidR="00581842" w:rsidRPr="00581842" w:rsidRDefault="00581842" w:rsidP="00581842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وهناك باب صفات الحروف مطلقًا، وإن كان جلّها يتعلق باللغة.</w:t>
      </w:r>
    </w:p>
    <w:p w:rsidR="00581842" w:rsidRPr="00581842" w:rsidRDefault="00581842" w:rsidP="00581842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وهناك أحكام الميم الساكنة.</w:t>
      </w:r>
    </w:p>
    <w:p w:rsidR="00581842" w:rsidRPr="00581842" w:rsidRDefault="00581842" w:rsidP="00581842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8"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pacing w:val="-8"/>
          <w:sz w:val="18"/>
          <w:szCs w:val="18"/>
          <w:rtl/>
        </w:rPr>
        <w:t>وهناك أحكام الغنة، وأحكام الراء واللام، والتفخيم، والترقيق، وغير ذلك من أبواب علم التجويد؛ وكان الذي ينبغي إدراج ذلك كله في علوم القرآن المتعلقة بالأداء.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(الإتقان في علوم القرآن) </w:t>
      </w:r>
    </w:p>
    <w:p w:rsidR="00581842" w:rsidRPr="00581842" w:rsidRDefault="00581842" w:rsidP="0058184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الرحمن بن الكمال السيوطي, الهيئة المصرية العامة للكتاب، 1974م.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(إعجاز القرآن)</w:t>
      </w:r>
    </w:p>
    <w:p w:rsidR="00581842" w:rsidRPr="00581842" w:rsidRDefault="00581842" w:rsidP="0058184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أبو بكر بن الطيب الباقلاني، تحقيق: عماد الدين حيدر، مؤسسة الكتب الثقافية، 1991م.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(البرهان في علوم القرآن)</w:t>
      </w:r>
    </w:p>
    <w:p w:rsidR="00581842" w:rsidRPr="00581842" w:rsidRDefault="00581842" w:rsidP="0058184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  <w:lang w:eastAsia="ar-SA"/>
        </w:rPr>
        <w:t>محمد بن بهادر بن عبد الله</w:t>
      </w: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الزركشي، دار الكتب العلمية، 2001م.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(التعريفات)</w:t>
      </w:r>
    </w:p>
    <w:p w:rsidR="00581842" w:rsidRPr="00581842" w:rsidRDefault="00581842" w:rsidP="0058184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علي محمد الجرجاني، دار الكتاب المصري، 1991م.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(التوقيف على مهمات التعاريف)</w:t>
      </w:r>
    </w:p>
    <w:p w:rsidR="00581842" w:rsidRPr="00581842" w:rsidRDefault="00581842" w:rsidP="0058184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محمد عبد الرؤوف المناوي، عالم الكتب، 1990م.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(صحيح البخاري مع شرحه فتح الباري)</w:t>
      </w:r>
    </w:p>
    <w:p w:rsidR="00581842" w:rsidRPr="00581842" w:rsidRDefault="00581842" w:rsidP="0058184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ابن حجر العسقلاني، دار الكتب العلمية، 1997م.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(العجاب في بيان الأسباب)</w:t>
      </w:r>
    </w:p>
    <w:p w:rsidR="00581842" w:rsidRPr="00581842" w:rsidRDefault="00581842" w:rsidP="0058184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ابن حجر العسقلاني، دار ابن الجوزي، 1997م. 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(فضائل القرآن)</w:t>
      </w:r>
    </w:p>
    <w:p w:rsidR="00581842" w:rsidRPr="00581842" w:rsidRDefault="00581842" w:rsidP="0058184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أحمد بن شعيب النسائي، مؤسسة الكتب الثقافية، 1985م.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(فيض القدير شرح الجامع الصغير)</w:t>
      </w:r>
    </w:p>
    <w:p w:rsidR="00581842" w:rsidRPr="00581842" w:rsidRDefault="00581842" w:rsidP="0058184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الرؤوف المناوي، دار المعرفة، 1980م.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(السبعة في القراءات)</w:t>
      </w:r>
    </w:p>
    <w:p w:rsidR="00581842" w:rsidRPr="00581842" w:rsidRDefault="00581842" w:rsidP="0058184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أحمد بن موسى بن مجاهد، دار المعارف، 1988م.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(لسان العرب)</w:t>
      </w:r>
    </w:p>
    <w:p w:rsidR="00581842" w:rsidRPr="00581842" w:rsidRDefault="00581842" w:rsidP="0058184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محمد بن مكرم بن منظور، طبعة دار إحياء التراث العربي، 1999م.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581842" w:rsidRPr="00581842" w:rsidRDefault="00581842" w:rsidP="0058184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صبحي الصالح، دار العلم للملايين، 2002م.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(مباحث في علوم القرآن)</w:t>
      </w:r>
    </w:p>
    <w:p w:rsidR="00581842" w:rsidRPr="00581842" w:rsidRDefault="00581842" w:rsidP="0058184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مناع خليل القطان، مؤسسة الرسالة للطباعة والنشر والتوزيع، 2000م.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(المستدرك على الصحيحين)</w:t>
      </w:r>
    </w:p>
    <w:p w:rsidR="00581842" w:rsidRPr="00581842" w:rsidRDefault="00581842" w:rsidP="0058184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الله الحاكم النيسابوري، دار الكتب العلمية، 1990م.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(مناهل العرفان)</w:t>
      </w:r>
    </w:p>
    <w:p w:rsidR="00581842" w:rsidRPr="00581842" w:rsidRDefault="00581842" w:rsidP="0058184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محمد بن عبد العظيم الزرقاني، دار الكتب العلمية، 2003م.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(التبيان في تفسير غريب القرآن)</w:t>
      </w:r>
    </w:p>
    <w:p w:rsidR="00581842" w:rsidRPr="00581842" w:rsidRDefault="00581842" w:rsidP="0058184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شهاب الدين أحمد بن محمد الهائم المصري، المكتبة المحمودية، 1960م.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(دلائل الإعجاز)</w:t>
      </w:r>
    </w:p>
    <w:p w:rsidR="00581842" w:rsidRPr="00581842" w:rsidRDefault="00581842" w:rsidP="0058184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عبد القاهر الجرجاني، دار الكتب العلمية، 1988م.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(فهم القرآن)</w:t>
      </w:r>
    </w:p>
    <w:p w:rsidR="00581842" w:rsidRPr="00581842" w:rsidRDefault="00581842" w:rsidP="00581842">
      <w:pPr>
        <w:spacing w:after="120" w:line="240" w:lineRule="auto"/>
        <w:ind w:left="363" w:hanging="79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الحارث بن أسد المحاسبي، دار الكندي للطباعة والنشر، 1982م.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(نفائس البيان شرح الفرائد الحسان في عد آي القرآن)</w:t>
      </w:r>
    </w:p>
    <w:p w:rsidR="00581842" w:rsidRPr="00581842" w:rsidRDefault="00581842" w:rsidP="00581842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الشيخ عبد الفتاح القاضي، مطبعة عيسى البابي الحلبي، ١٣٥٥هـ.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(الأصلان في علوم القرآن)</w:t>
      </w:r>
    </w:p>
    <w:p w:rsidR="00581842" w:rsidRPr="00581842" w:rsidRDefault="00581842" w:rsidP="00581842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محمد عبد المنعم القيعي، طبعة المكتبات الأزهرية، ١٩٨٠م.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(مختصر في قواعد التفسير)</w:t>
      </w:r>
    </w:p>
    <w:p w:rsidR="00581842" w:rsidRPr="00581842" w:rsidRDefault="00581842" w:rsidP="00581842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خالد السبت، مطبعة ابن الجوزي، ١٤٢٣هـ.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(الصحيح المسند من أسباب النزول)</w:t>
      </w:r>
    </w:p>
    <w:p w:rsidR="00581842" w:rsidRPr="00581842" w:rsidRDefault="00581842" w:rsidP="00581842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مقبل بن هادي الوادعي، الرياض،  مكتبة المعارف، 1400هـ.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(موسوعة فضائل سور وآيات القرآن)</w:t>
      </w:r>
    </w:p>
    <w:p w:rsidR="00581842" w:rsidRPr="00581842" w:rsidRDefault="00581842" w:rsidP="00581842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محمد بن رزق الطرهوني، مكتبة العلم، 1994م.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(سنن القرّاء ومناهج المجوّدين)</w:t>
      </w:r>
    </w:p>
    <w:p w:rsidR="00581842" w:rsidRPr="00581842" w:rsidRDefault="00581842" w:rsidP="00581842">
      <w:pPr>
        <w:spacing w:after="120" w:line="240" w:lineRule="auto"/>
        <w:ind w:left="363" w:hanging="79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عبد العزيز القارئ، مكتبة الدار للنشر والتوزيع، 2000م.</w:t>
      </w:r>
    </w:p>
    <w:p w:rsidR="00581842" w:rsidRPr="00581842" w:rsidRDefault="00581842" w:rsidP="00581842">
      <w:pPr>
        <w:widowControl w:val="0"/>
        <w:numPr>
          <w:ilvl w:val="0"/>
          <w:numId w:val="1"/>
        </w:numPr>
        <w:spacing w:after="120" w:line="240" w:lineRule="auto"/>
        <w:ind w:left="363"/>
        <w:jc w:val="both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(النشر في القراءات العشر)</w:t>
      </w:r>
    </w:p>
    <w:p w:rsidR="00581842" w:rsidRPr="00581842" w:rsidRDefault="00581842" w:rsidP="00581842">
      <w:pPr>
        <w:spacing w:line="240" w:lineRule="auto"/>
        <w:rPr>
          <w:rFonts w:asciiTheme="majorBidi" w:hAnsiTheme="majorBidi" w:cstheme="majorBidi"/>
          <w:b/>
          <w:bCs/>
          <w:sz w:val="18"/>
          <w:szCs w:val="18"/>
        </w:rPr>
      </w:pPr>
      <w:r w:rsidRPr="00581842">
        <w:rPr>
          <w:rFonts w:asciiTheme="majorBidi" w:hAnsiTheme="majorBidi" w:cstheme="majorBidi"/>
          <w:b/>
          <w:bCs/>
          <w:sz w:val="18"/>
          <w:szCs w:val="18"/>
          <w:rtl/>
        </w:rPr>
        <w:t>محمد بن الجزري، المكتبة التجارية الكبرى، 1970م.</w:t>
      </w:r>
    </w:p>
    <w:sectPr w:rsidR="00581842" w:rsidRPr="00581842" w:rsidSect="00581842">
      <w:type w:val="continuous"/>
      <w:pgSz w:w="11906" w:h="16838"/>
      <w:pgMar w:top="1440" w:right="1440" w:bottom="1440" w:left="1440" w:header="720" w:footer="720" w:gutter="0"/>
      <w:cols w:num="2"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Rasheeq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11A07"/>
    <w:multiLevelType w:val="hybridMultilevel"/>
    <w:tmpl w:val="598CE240"/>
    <w:lvl w:ilvl="0" w:tplc="DDAE06A2">
      <w:start w:val="1"/>
      <w:numFmt w:val="bullet"/>
      <w:lvlText w:val=""/>
      <w:lvlJc w:val="center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">
    <w:nsid w:val="1AFB4D35"/>
    <w:multiLevelType w:val="hybridMultilevel"/>
    <w:tmpl w:val="5372C9D6"/>
    <w:lvl w:ilvl="0" w:tplc="1BB2DDB4">
      <w:start w:val="1"/>
      <w:numFmt w:val="bullet"/>
      <w:lvlText w:val=""/>
      <w:lvlJc w:val="center"/>
      <w:pPr>
        <w:ind w:left="109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">
    <w:nsid w:val="4A461ED3"/>
    <w:multiLevelType w:val="hybridMultilevel"/>
    <w:tmpl w:val="893C6592"/>
    <w:lvl w:ilvl="0" w:tplc="94D654B6">
      <w:start w:val="1"/>
      <w:numFmt w:val="decimal"/>
      <w:lvlRestart w:val="0"/>
      <w:lvlText w:val="%1."/>
      <w:lvlJc w:val="left"/>
      <w:pPr>
        <w:tabs>
          <w:tab w:val="num" w:pos="369"/>
        </w:tabs>
        <w:ind w:left="107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defaultTabStop w:val="720"/>
  <w:characterSpacingControl w:val="doNotCompress"/>
  <w:compat/>
  <w:rsids>
    <w:rsidRoot w:val="00581842"/>
    <w:rsid w:val="001352FB"/>
    <w:rsid w:val="00581842"/>
    <w:rsid w:val="005C15CC"/>
    <w:rsid w:val="008F0C4C"/>
    <w:rsid w:val="00E3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2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rsid w:val="00581842"/>
    <w:pPr>
      <w:suppressAutoHyphens/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customStyle="1" w:styleId="Author">
    <w:name w:val="Author"/>
    <w:rsid w:val="00581842"/>
    <w:pPr>
      <w:suppressAutoHyphens/>
      <w:spacing w:before="360" w:after="40" w:line="240" w:lineRule="auto"/>
      <w:jc w:val="center"/>
    </w:pPr>
    <w:rPr>
      <w:rFonts w:ascii="Times New Roman" w:eastAsia="SimSun" w:hAnsi="Times New Roman" w:cs="Times New Roman"/>
    </w:rPr>
  </w:style>
  <w:style w:type="paragraph" w:styleId="ListParagraph">
    <w:name w:val="List Paragraph"/>
    <w:basedOn w:val="Normal"/>
    <w:uiPriority w:val="34"/>
    <w:qFormat/>
    <w:rsid w:val="00581842"/>
    <w:pPr>
      <w:ind w:left="720"/>
      <w:contextualSpacing/>
    </w:pPr>
  </w:style>
  <w:style w:type="paragraph" w:styleId="NormalWeb">
    <w:name w:val="Normal (Web)"/>
    <w:basedOn w:val="Normal"/>
    <w:rsid w:val="00581842"/>
    <w:pPr>
      <w:bidi w:val="0"/>
      <w:spacing w:after="0" w:line="240" w:lineRule="auto"/>
      <w:ind w:left="75" w:right="75"/>
      <w:jc w:val="both"/>
    </w:pPr>
    <w:rPr>
      <w:rFonts w:ascii="Tahoma" w:eastAsia="Times New Roman" w:hAnsi="Tahoma" w:cs="Tahoma"/>
      <w:sz w:val="36"/>
      <w:szCs w:val="36"/>
    </w:rPr>
  </w:style>
  <w:style w:type="character" w:styleId="Hyperlink">
    <w:name w:val="Hyperlink"/>
    <w:basedOn w:val="DefaultParagraphFont"/>
    <w:rsid w:val="008F0C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hmed.mahdey@mediu.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578</Words>
  <Characters>3299</Characters>
  <Application>Microsoft Office Word</Application>
  <DocSecurity>0</DocSecurity>
  <Lines>27</Lines>
  <Paragraphs>7</Paragraphs>
  <ScaleCrop>false</ScaleCrop>
  <Company/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miso</dc:creator>
  <cp:lastModifiedBy>User</cp:lastModifiedBy>
  <cp:revision>2</cp:revision>
  <dcterms:created xsi:type="dcterms:W3CDTF">2013-06-04T22:29:00Z</dcterms:created>
  <dcterms:modified xsi:type="dcterms:W3CDTF">2013-06-24T08:44:00Z</dcterms:modified>
</cp:coreProperties>
</file>