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B" w:rsidRDefault="00E54175" w:rsidP="00E54175">
      <w:pPr>
        <w:jc w:val="center"/>
        <w:rPr>
          <w:sz w:val="52"/>
          <w:szCs w:val="52"/>
          <w:rtl/>
        </w:rPr>
      </w:pPr>
      <w:r w:rsidRPr="00E54175">
        <w:rPr>
          <w:rFonts w:ascii="Calibri" w:eastAsia="Calibri" w:hAnsi="Calibri" w:cs="AGA Rasheeq Bold"/>
          <w:sz w:val="52"/>
          <w:szCs w:val="52"/>
          <w:rtl/>
        </w:rPr>
        <w:t>معرفة الوجوه والنظائر</w:t>
      </w:r>
    </w:p>
    <w:p w:rsidR="00E54175" w:rsidRPr="007E1CFD" w:rsidRDefault="00E54175" w:rsidP="00E54175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E54175" w:rsidRPr="00BB04DF" w:rsidRDefault="00E54175" w:rsidP="00BB04DF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إعداد / </w:t>
      </w:r>
      <w:r w:rsidR="008051A8" w:rsidRPr="00BB04DF">
        <w:rPr>
          <w:i/>
          <w:iCs/>
          <w:rtl/>
        </w:rPr>
        <w:t>ميريهان مجدي محمود عبد المجيد</w:t>
      </w:r>
    </w:p>
    <w:p w:rsidR="00E54175" w:rsidRPr="00BB04DF" w:rsidRDefault="00E54175" w:rsidP="00E54175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E54175" w:rsidRPr="00BB04DF" w:rsidRDefault="00E54175" w:rsidP="00E54175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BB04DF">
        <w:rPr>
          <w:i/>
          <w:iCs/>
        </w:rPr>
        <w:t xml:space="preserve"> </w:t>
      </w:r>
    </w:p>
    <w:p w:rsidR="00E54175" w:rsidRPr="00BB04DF" w:rsidRDefault="00E54175" w:rsidP="00E54175">
      <w:pPr>
        <w:pStyle w:val="Affiliation"/>
        <w:bidi/>
        <w:rPr>
          <w:i/>
          <w:iCs/>
          <w:rtl/>
        </w:rPr>
      </w:pPr>
      <w:r w:rsidRPr="00BB04DF">
        <w:rPr>
          <w:rFonts w:hint="cs"/>
          <w:i/>
          <w:iCs/>
          <w:rtl/>
        </w:rPr>
        <w:t>شاه علم - ماليزيا</w:t>
      </w:r>
    </w:p>
    <w:p w:rsidR="00E54175" w:rsidRPr="00BB04DF" w:rsidRDefault="008051A8" w:rsidP="00BB04DF">
      <w:pPr>
        <w:pStyle w:val="Affiliation"/>
        <w:bidi/>
        <w:rPr>
          <w:i/>
          <w:iCs/>
          <w:rtl/>
        </w:rPr>
        <w:sectPr w:rsidR="00E54175" w:rsidRPr="00BB04DF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tgtFrame="_blank" w:history="1">
        <w:r w:rsidRPr="00BB04DF">
          <w:rPr>
            <w:i/>
            <w:iCs/>
          </w:rPr>
          <w:t>mirihan@mediu.ws</w:t>
        </w:r>
      </w:hyperlink>
    </w:p>
    <w:p w:rsidR="00E54175" w:rsidRPr="00E54175" w:rsidRDefault="00E54175" w:rsidP="00323C41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="00323C4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معرفة الوجوه والتظائر</w:t>
      </w:r>
    </w:p>
    <w:p w:rsidR="00E54175" w:rsidRPr="00E54175" w:rsidRDefault="00E54175" w:rsidP="00323C41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الكلمات المفتاحية –</w:t>
      </w:r>
      <w:r w:rsidR="00323C4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أشهر</w:t>
      </w:r>
      <w:r w:rsidRPr="00E54175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 w:rsidR="00323C4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اللفظ</w:t>
      </w:r>
      <w:r w:rsidRPr="00E54175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 w:rsidR="00323C4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الوجوه</w:t>
      </w:r>
    </w:p>
    <w:p w:rsidR="00E54175" w:rsidRPr="00E54175" w:rsidRDefault="00323C41" w:rsidP="00323C41">
      <w:pPr>
        <w:pStyle w:val="ListParagraph"/>
        <w:numPr>
          <w:ilvl w:val="0"/>
          <w:numId w:val="2"/>
        </w:numPr>
        <w:spacing w:before="60" w:line="240" w:lineRule="auto"/>
        <w:ind w:left="1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E54175" w:rsidRPr="00E54175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E54175" w:rsidRPr="00E54175" w:rsidRDefault="00E54175" w:rsidP="00323C41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="00323C41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معرفة الوجوه والتظائر</w:t>
      </w:r>
    </w:p>
    <w:p w:rsidR="00E54175" w:rsidRPr="00E54175" w:rsidRDefault="00323C41" w:rsidP="00323C41">
      <w:pPr>
        <w:pStyle w:val="ListParagraph"/>
        <w:numPr>
          <w:ilvl w:val="0"/>
          <w:numId w:val="3"/>
        </w:numPr>
        <w:spacing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E54175" w:rsidRPr="00E54175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صنّف فيها قديمًا مقاتل بن سليمان، ومن المتأخِّرين: ابن الجوزي وغيره...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ومن أشهر ما كتب فيها: كتاب (قاموس القرآن)، أو (إصلاح الوجوه والنظائر) للدامغاني، وهو مطبوع متداول.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والوجوه: اللفظ المشترك الذي يُستعمل في عدّة معان، كلفظ: "الأمّة".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وقد أفرده السيوطي بكتاب سماه: (معترك الأقران في مشترك القرآن).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وأما النظائر فهي: الألفاظ المتواطئة، يعني: المتوافقة في المعنى.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وقد جعل بعضهم ذلك: من أنواع معجزات القرآن؛ حيث كانت الكلمة الواحدة تنصرف إلى عشرين وجهًا، وأكثر، وأقل، ولا يوجد ذلك في كلام البشر.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وذكر مقاتل في صدر كتابه حديثًا مرفوعًا: ((لا يكون الرجل فقيهًا كلَّ الفقه حتى يرى للقرآن وجوهًا كثيرة)).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قال السيوطي: هذا أخرجه ابن سعد وغيره، عن أبي الدرداء موقوفًا، ولفظه: ((لا يَفقه الرجل كلَّ الفقه)). وقد فسّره بعضهم بأن المراد: أن يرى اللفظ الواحد يحتمل معاني متعدّدة، فيحمله عليها إذا كانت غير متضادة، ولا يقتصر به على معنى واحد.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وقيل: هو أن يرى له وجوهًا، فيهاب الإقدام عليه.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وقيل: غير ذلك...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وأخرج ابن سعد من طريق عكرمة عن ابن عباس: أنّ علي بن أبي طالب أرسله إلى الخوارج فقال: "اذهب إليهم فخاصمْهم، ولا تحاجّهم بالقرآن فإنه ذو وجوه، ولكن خاصمْهم بالسُّنة".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وأخرج من وجه آخر: "أن ابن عباس قال له: يا أمير المؤمنين، فأنا أعلم بكتاب الله منهم، في بيوتنا نزَل. قال: صدقتَ، ولكن القرآن حمّال ذو وجوه؛ تقول ويقولون. ولكن خاصمْهم بالسُّنن؛ فإنهم لن يجدوا عنها محيصًا. فخرج إليهم فخاصمهم بالسُّنن، فلم تَبق بأيديهم حجة".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وأمثلة هذا النوع كثيرة. ونذكر لذلك مثالًا واحدًا: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{ﭨ} [الأعراف: 193] يأتي على سبعة عشر وجهًا: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بمعنى الثبات: {ﭧ ﭨ ﭩ} [الفاتحة: 6].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والبيان: {ﭳ ﭴ ﭵ ﭶ ﭷ} [البقرة: 5].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والدِّين: { ﮦ ﭷ ﭸ} [الأنعام: 88].</w:t>
      </w:r>
    </w:p>
    <w:p w:rsidR="00E54175" w:rsidRPr="00E54175" w:rsidRDefault="00E54175" w:rsidP="00323C41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والإيمان: { ﯼ ﯽ ﯾ ﯿ} [مريم: 76].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والدعاء: {ﭶ ﭷ ﭸ} [الرعد: 7]، {ﭑ ﭒ} [الأنبياء: 73].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وبمعنى الرسل والكتب: {ﭖ ﭗ} [البقرة: 38].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والمعرفة: {ﭟ ﭠ ﭡ} [النحل: 16].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 xml:space="preserve">وبمعنى: النبي </w:t>
      </w:r>
      <w:r w:rsidRPr="00E54175">
        <w:rPr>
          <w:rFonts w:asciiTheme="majorBidi" w:hAnsiTheme="majorBidi" w:cstheme="majorBidi"/>
          <w:b/>
          <w:bCs/>
          <w:spacing w:val="-8"/>
          <w:position w:val="-4"/>
          <w:sz w:val="18"/>
          <w:szCs w:val="18"/>
        </w:rPr>
        <w:sym w:font="AGA Arabesque" w:char="F065"/>
      </w:r>
      <w:r w:rsidRPr="00E54175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 xml:space="preserve">: 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{ﮠ ﮡ ﮢ ﮣ ﮤ ﮥ ﮦ ﮧ}</w:t>
      </w:r>
      <w:r w:rsidRPr="00E54175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 xml:space="preserve"> [البقرة: 159].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وبمعنى القرآن: {</w:t>
      </w:r>
      <w:r w:rsidRPr="00E54175">
        <w:rPr>
          <w:rFonts w:asciiTheme="majorBidi" w:hAnsiTheme="majorBidi" w:cs="QCF_P526"/>
          <w:b/>
          <w:bCs/>
          <w:sz w:val="18"/>
          <w:szCs w:val="18"/>
          <w:rtl/>
        </w:rPr>
        <w:t>ﯶ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526"/>
          <w:b/>
          <w:bCs/>
          <w:sz w:val="18"/>
          <w:szCs w:val="18"/>
          <w:rtl/>
        </w:rPr>
        <w:t>ﯷ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526"/>
          <w:b/>
          <w:bCs/>
          <w:sz w:val="18"/>
          <w:szCs w:val="18"/>
          <w:rtl/>
        </w:rPr>
        <w:t>ﯸ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526"/>
          <w:b/>
          <w:bCs/>
          <w:sz w:val="18"/>
          <w:szCs w:val="18"/>
          <w:rtl/>
        </w:rPr>
        <w:t>ﯹ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526"/>
          <w:b/>
          <w:bCs/>
          <w:sz w:val="18"/>
          <w:szCs w:val="18"/>
          <w:rtl/>
        </w:rPr>
        <w:t>ﯺ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[النجم: 23].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والتوراة: {ﭽ ﭾ ﭿ ﮀ} [غافر: 53].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والاسترجاع: {ﮀ ﮁ ﮂ} [البقرة: 157].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والحُجة: {ﮖ ﮗ ﮘ ﮙ} [البقرة: 258] بعد قوله تعالى: {ﭭ ﭮ ﭯ ﭰ ﭱ ﭲ ﭳ ﭴ} [البقرة: 258] أي: لا يهديهم حُجة.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والتوحيد: {ﮟ ﮠ ﮡ ﮢ} [القصص: 57].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والسُّنة: {</w:t>
      </w:r>
      <w:r w:rsidRPr="00E54175">
        <w:rPr>
          <w:rFonts w:asciiTheme="majorBidi" w:hAnsiTheme="majorBidi" w:cs="QCF_P138"/>
          <w:b/>
          <w:bCs/>
          <w:sz w:val="18"/>
          <w:szCs w:val="18"/>
          <w:rtl/>
        </w:rPr>
        <w:t>ﯰ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138"/>
          <w:b/>
          <w:bCs/>
          <w:sz w:val="18"/>
          <w:szCs w:val="18"/>
          <w:rtl/>
        </w:rPr>
        <w:t>ﯱ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138"/>
          <w:b/>
          <w:bCs/>
          <w:sz w:val="18"/>
          <w:szCs w:val="18"/>
          <w:rtl/>
        </w:rPr>
        <w:t>ﯲ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} [الأنعام: 90]، {</w:t>
      </w:r>
      <w:r w:rsidRPr="00E54175">
        <w:rPr>
          <w:rFonts w:asciiTheme="majorBidi" w:hAnsiTheme="majorBidi" w:cs="QCF_P490"/>
          <w:b/>
          <w:bCs/>
          <w:sz w:val="18"/>
          <w:szCs w:val="18"/>
          <w:rtl/>
        </w:rPr>
        <w:t>ﰁ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90"/>
          <w:b/>
          <w:bCs/>
          <w:sz w:val="18"/>
          <w:szCs w:val="18"/>
          <w:rtl/>
        </w:rPr>
        <w:t>ﰂ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90"/>
          <w:b/>
          <w:bCs/>
          <w:sz w:val="18"/>
          <w:szCs w:val="18"/>
          <w:rtl/>
        </w:rPr>
        <w:t>ﰃ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90"/>
          <w:b/>
          <w:bCs/>
          <w:sz w:val="18"/>
          <w:szCs w:val="18"/>
          <w:rtl/>
        </w:rPr>
        <w:t>ﰄ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[الزُّخرُف: 22].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والإصلاح: {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ﰉ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ﰊ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ﰋ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ﰌ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ﰍ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241"/>
          <w:b/>
          <w:bCs/>
          <w:sz w:val="18"/>
          <w:szCs w:val="18"/>
          <w:rtl/>
        </w:rPr>
        <w:t>ﰎ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[يوسف: 52].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والإلهام: {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ﰑ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ﰒ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ﰓ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ﰔ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ﰕ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314"/>
          <w:b/>
          <w:bCs/>
          <w:sz w:val="18"/>
          <w:szCs w:val="18"/>
          <w:rtl/>
        </w:rPr>
        <w:t>ﰖ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[طه: 50] أي: ألْهَمهم المعاش.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والتوبة: {ﭚ ﭛ ﭜ ﭝ} [الأعراف: 156].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والإرشاد: {ﭘ ﭙ ﭚ ﭛ} [القصص: 22].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وهناك قواعد جامعة في مثل ذلك، ومن ذلك قولهم: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كلّ ما في القرآن مِن ذكْر "الأسف": فمعناه: الحزن، إلاّ {ﮨ ﮩ}  [الزُّخرُف: 55]فمعناه: أغضبونا. </w:t>
      </w:r>
    </w:p>
    <w:p w:rsidR="00E54175" w:rsidRPr="00E54175" w:rsidRDefault="00E54175" w:rsidP="00E54175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وكلّ ما فيه من ذكْر {ﭓ} [البروج: 1] فهي: الكواكب، إلا {ﯠ ﯡ ﯢ ﯣ ﯤ} [النساء: 78] فهي: القصور الطوال الحصينة. </w:t>
      </w:r>
    </w:p>
    <w:p w:rsidR="00E54175" w:rsidRPr="00E54175" w:rsidRDefault="00E54175" w:rsidP="00E54175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وكلّ ما فيه من ذكْر 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{</w:t>
      </w:r>
      <w:r w:rsidRPr="00E54175">
        <w:rPr>
          <w:rFonts w:asciiTheme="majorBidi" w:hAnsiTheme="majorBidi" w:cs="QCF_P408"/>
          <w:b/>
          <w:bCs/>
          <w:sz w:val="18"/>
          <w:szCs w:val="18"/>
          <w:rtl/>
        </w:rPr>
        <w:t>ﰁ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} [الأنعام: 59]،</w:t>
      </w: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{</w:t>
      </w:r>
      <w:r w:rsidRPr="00E54175">
        <w:rPr>
          <w:rFonts w:asciiTheme="majorBidi" w:hAnsiTheme="majorBidi" w:cs="QCF_P408"/>
          <w:b/>
          <w:bCs/>
          <w:sz w:val="18"/>
          <w:szCs w:val="18"/>
          <w:rtl/>
        </w:rPr>
        <w:t>ﰂ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}،</w:t>
      </w: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فالمراد بـ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"الْبَحْر"</w:t>
      </w: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>: الماء، وبـ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"الْبَرِّ"</w:t>
      </w: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: التراب اليابس، إلا 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{ﯾ ﯿ </w:t>
      </w:r>
      <w:r w:rsidRPr="00E54175">
        <w:rPr>
          <w:rFonts w:asciiTheme="majorBidi" w:hAnsiTheme="majorBidi" w:cs="QCF_P408"/>
          <w:b/>
          <w:bCs/>
          <w:sz w:val="18"/>
          <w:szCs w:val="18"/>
          <w:rtl/>
        </w:rPr>
        <w:t>ﰀ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08"/>
          <w:b/>
          <w:bCs/>
          <w:sz w:val="18"/>
          <w:szCs w:val="18"/>
          <w:rtl/>
        </w:rPr>
        <w:t>ﰁ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08"/>
          <w:b/>
          <w:bCs/>
          <w:sz w:val="18"/>
          <w:szCs w:val="18"/>
          <w:rtl/>
        </w:rPr>
        <w:t>ﰂ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[الروم: 41] </w:t>
      </w:r>
      <w:r w:rsidRPr="00E54175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>فالمراد به: البرية والعمران.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وكل ما فيه من "بخس" فهو: النقص، إلا {ﮨ ﮩ} [يوسف: 20] أي: حرام.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وكلّ ما فيه من "البعل" فهو: الزوج، إلا {</w:t>
      </w:r>
      <w:r w:rsidRPr="00E54175">
        <w:rPr>
          <w:rFonts w:asciiTheme="majorBidi" w:hAnsiTheme="majorBidi" w:cs="QCF_P450"/>
          <w:b/>
          <w:bCs/>
          <w:sz w:val="18"/>
          <w:szCs w:val="18"/>
          <w:rtl/>
        </w:rPr>
        <w:t>ﯪ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Pr="00E54175">
        <w:rPr>
          <w:rFonts w:asciiTheme="majorBidi" w:hAnsiTheme="majorBidi" w:cs="QCF_P450"/>
          <w:b/>
          <w:bCs/>
          <w:sz w:val="18"/>
          <w:szCs w:val="18"/>
          <w:rtl/>
        </w:rPr>
        <w:t>ﯫ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[الصافات: 125] فهو: الصنم. </w:t>
      </w:r>
    </w:p>
    <w:p w:rsidR="00E54175" w:rsidRPr="00E54175" w:rsidRDefault="00E54175" w:rsidP="00E54175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وهكذا على نزاع بطبيعة الحال في بعض ذلك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(التعريفات)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محمد عبد الرؤوف المناوي، عالم الكتب، 1990م.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العظيم الزرقاني، دار الكتب العلمية، 2003م.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(التبيان في تفسير غريب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E54175" w:rsidRPr="00E54175" w:rsidRDefault="00E54175" w:rsidP="00E54175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E54175" w:rsidRPr="00E54175" w:rsidRDefault="00E54175" w:rsidP="00E54175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E54175" w:rsidRPr="00E54175" w:rsidRDefault="00E54175" w:rsidP="00E54175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54175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E54175" w:rsidRDefault="00E54175" w:rsidP="00E54175">
      <w:pPr>
        <w:spacing w:after="120" w:line="520" w:lineRule="exact"/>
        <w:jc w:val="lowKashida"/>
        <w:rPr>
          <w:rFonts w:cs="AL-Hotham"/>
          <w:sz w:val="32"/>
          <w:szCs w:val="32"/>
          <w:rtl/>
        </w:rPr>
        <w:sectPr w:rsidR="00E54175" w:rsidSect="00E54175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E54175" w:rsidRPr="00DD23E6" w:rsidRDefault="00E54175" w:rsidP="00E54175">
      <w:pPr>
        <w:spacing w:after="120" w:line="520" w:lineRule="exact"/>
        <w:jc w:val="lowKashida"/>
        <w:rPr>
          <w:rFonts w:cs="AL-Hotham"/>
          <w:sz w:val="32"/>
          <w:szCs w:val="32"/>
          <w:rtl/>
        </w:rPr>
      </w:pPr>
    </w:p>
    <w:p w:rsidR="00E54175" w:rsidRPr="00E54175" w:rsidRDefault="00E54175" w:rsidP="00E54175">
      <w:pPr>
        <w:rPr>
          <w:sz w:val="18"/>
          <w:szCs w:val="18"/>
        </w:rPr>
      </w:pPr>
    </w:p>
    <w:sectPr w:rsidR="00E54175" w:rsidRPr="00E54175" w:rsidSect="00E54175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QCF_P526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13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49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4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314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40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45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B29"/>
    <w:multiLevelType w:val="hybridMultilevel"/>
    <w:tmpl w:val="CD6AF342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">
    <w:nsid w:val="63AB610B"/>
    <w:multiLevelType w:val="hybridMultilevel"/>
    <w:tmpl w:val="5846FDB8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E54175"/>
    <w:rsid w:val="001352FB"/>
    <w:rsid w:val="00323C41"/>
    <w:rsid w:val="005C15CC"/>
    <w:rsid w:val="00702EA5"/>
    <w:rsid w:val="008051A8"/>
    <w:rsid w:val="00BB04DF"/>
    <w:rsid w:val="00D017F2"/>
    <w:rsid w:val="00E5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E54175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E54175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E54175"/>
    <w:pPr>
      <w:ind w:left="720"/>
      <w:contextualSpacing/>
    </w:pPr>
  </w:style>
  <w:style w:type="character" w:styleId="Hyperlink">
    <w:name w:val="Hyperlink"/>
    <w:basedOn w:val="DefaultParagraphFont"/>
    <w:rsid w:val="00805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ihan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3</cp:revision>
  <dcterms:created xsi:type="dcterms:W3CDTF">2013-06-04T23:00:00Z</dcterms:created>
  <dcterms:modified xsi:type="dcterms:W3CDTF">2013-06-24T09:30:00Z</dcterms:modified>
</cp:coreProperties>
</file>