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Default="003236BF" w:rsidP="003236BF">
      <w:pPr>
        <w:jc w:val="center"/>
        <w:rPr>
          <w:sz w:val="48"/>
          <w:szCs w:val="48"/>
          <w:rtl/>
        </w:rPr>
      </w:pPr>
      <w:r w:rsidRPr="003236BF">
        <w:rPr>
          <w:rFonts w:ascii="Calibri" w:eastAsia="Calibri" w:hAnsi="Calibri" w:cs="AGA Rasheeq Bold" w:hint="eastAsia"/>
          <w:sz w:val="48"/>
          <w:szCs w:val="48"/>
          <w:rtl/>
        </w:rPr>
        <w:t>الموصول</w:t>
      </w:r>
      <w:r w:rsidRPr="003236BF">
        <w:rPr>
          <w:rFonts w:ascii="Calibri" w:eastAsia="Calibri" w:hAnsi="Calibri" w:cs="AGA Rasheeq Bold"/>
          <w:sz w:val="48"/>
          <w:szCs w:val="48"/>
          <w:rtl/>
        </w:rPr>
        <w:t xml:space="preserve"> </w:t>
      </w:r>
      <w:r w:rsidRPr="003236BF">
        <w:rPr>
          <w:rFonts w:ascii="Calibri" w:eastAsia="Calibri" w:hAnsi="Calibri" w:cs="AGA Rasheeq Bold" w:hint="eastAsia"/>
          <w:sz w:val="48"/>
          <w:szCs w:val="48"/>
          <w:rtl/>
        </w:rPr>
        <w:t>لفظًا</w:t>
      </w:r>
      <w:r w:rsidRPr="003236BF">
        <w:rPr>
          <w:rFonts w:ascii="Calibri" w:eastAsia="Calibri" w:hAnsi="Calibri" w:cs="AGA Rasheeq Bold"/>
          <w:sz w:val="48"/>
          <w:szCs w:val="48"/>
          <w:rtl/>
        </w:rPr>
        <w:t xml:space="preserve"> </w:t>
      </w:r>
      <w:r w:rsidRPr="003236BF">
        <w:rPr>
          <w:rFonts w:ascii="Calibri" w:eastAsia="Calibri" w:hAnsi="Calibri" w:cs="AGA Rasheeq Bold" w:hint="eastAsia"/>
          <w:sz w:val="48"/>
          <w:szCs w:val="48"/>
          <w:rtl/>
        </w:rPr>
        <w:t>المفصول</w:t>
      </w:r>
      <w:r w:rsidRPr="003236BF">
        <w:rPr>
          <w:rFonts w:ascii="Calibri" w:eastAsia="Calibri" w:hAnsi="Calibri" w:cs="AGA Rasheeq Bold"/>
          <w:sz w:val="48"/>
          <w:szCs w:val="48"/>
          <w:rtl/>
        </w:rPr>
        <w:t xml:space="preserve"> </w:t>
      </w:r>
      <w:r w:rsidRPr="003236BF">
        <w:rPr>
          <w:rFonts w:ascii="Calibri" w:eastAsia="Calibri" w:hAnsi="Calibri" w:cs="AGA Rasheeq Bold" w:hint="eastAsia"/>
          <w:sz w:val="48"/>
          <w:szCs w:val="48"/>
          <w:rtl/>
        </w:rPr>
        <w:t>معنىً</w:t>
      </w:r>
    </w:p>
    <w:p w:rsidR="00110711" w:rsidRPr="007E1CFD" w:rsidRDefault="00110711" w:rsidP="00110711">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110711" w:rsidRPr="00933618" w:rsidRDefault="00110711" w:rsidP="00933618">
      <w:pPr>
        <w:pStyle w:val="Affiliation"/>
        <w:bidi/>
        <w:rPr>
          <w:i/>
          <w:iCs/>
        </w:rPr>
      </w:pPr>
      <w:r>
        <w:rPr>
          <w:rFonts w:hint="cs"/>
          <w:i/>
          <w:iCs/>
          <w:rtl/>
        </w:rPr>
        <w:t xml:space="preserve">إعداد / </w:t>
      </w:r>
      <w:r w:rsidR="00933618" w:rsidRPr="00933618">
        <w:rPr>
          <w:i/>
          <w:iCs/>
          <w:rtl/>
        </w:rPr>
        <w:t>محمد سعد</w:t>
      </w:r>
    </w:p>
    <w:p w:rsidR="00110711" w:rsidRPr="00933618" w:rsidRDefault="00110711" w:rsidP="00110711">
      <w:pPr>
        <w:pStyle w:val="Affiliation"/>
        <w:bidi/>
        <w:rPr>
          <w:i/>
          <w:iCs/>
        </w:rPr>
      </w:pPr>
      <w:r>
        <w:rPr>
          <w:rFonts w:hint="cs"/>
          <w:i/>
          <w:iCs/>
          <w:rtl/>
        </w:rPr>
        <w:t>قسم الدعوة وأصول الدين</w:t>
      </w:r>
    </w:p>
    <w:p w:rsidR="00110711" w:rsidRPr="00933618" w:rsidRDefault="00110711" w:rsidP="00110711">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933618">
        <w:rPr>
          <w:i/>
          <w:iCs/>
        </w:rPr>
        <w:t xml:space="preserve"> </w:t>
      </w:r>
    </w:p>
    <w:p w:rsidR="00110711" w:rsidRPr="00933618" w:rsidRDefault="00110711" w:rsidP="00110711">
      <w:pPr>
        <w:pStyle w:val="Affiliation"/>
        <w:bidi/>
        <w:rPr>
          <w:i/>
          <w:iCs/>
          <w:rtl/>
        </w:rPr>
      </w:pPr>
      <w:r w:rsidRPr="00933618">
        <w:rPr>
          <w:rFonts w:hint="cs"/>
          <w:i/>
          <w:iCs/>
          <w:rtl/>
        </w:rPr>
        <w:t>شاه علم - ماليزيا</w:t>
      </w:r>
    </w:p>
    <w:p w:rsidR="00110711" w:rsidRDefault="00933618" w:rsidP="00933618">
      <w:pPr>
        <w:pStyle w:val="Affiliation"/>
        <w:bidi/>
        <w:rPr>
          <w:rFonts w:hint="cs"/>
          <w:i/>
          <w:iCs/>
          <w:rtl/>
        </w:rPr>
      </w:pPr>
      <w:hyperlink r:id="rId5" w:history="1">
        <w:r w:rsidRPr="00933618">
          <w:rPr>
            <w:i/>
            <w:iCs/>
          </w:rPr>
          <w:t>mohamad.saad@mediu.ws</w:t>
        </w:r>
      </w:hyperlink>
    </w:p>
    <w:p w:rsidR="00933618" w:rsidRDefault="00933618" w:rsidP="00933618">
      <w:pPr>
        <w:pStyle w:val="Affiliation"/>
        <w:bidi/>
        <w:rPr>
          <w:rFonts w:hint="cs"/>
          <w:i/>
          <w:iCs/>
          <w:rtl/>
        </w:rPr>
      </w:pPr>
    </w:p>
    <w:p w:rsidR="00933618" w:rsidRPr="00933618" w:rsidRDefault="00933618" w:rsidP="00933618">
      <w:pPr>
        <w:pStyle w:val="Affiliation"/>
        <w:bidi/>
        <w:rPr>
          <w:i/>
          <w:iCs/>
          <w:rtl/>
        </w:rPr>
        <w:sectPr w:rsidR="00933618" w:rsidRPr="00933618" w:rsidSect="005C15CC">
          <w:pgSz w:w="11906" w:h="16838"/>
          <w:pgMar w:top="1440" w:right="1440" w:bottom="1440" w:left="1440" w:header="720" w:footer="720" w:gutter="0"/>
          <w:cols w:space="720"/>
          <w:bidi/>
          <w:rtlGutter/>
          <w:docGrid w:linePitch="360"/>
        </w:sectPr>
      </w:pPr>
    </w:p>
    <w:p w:rsidR="007339BF" w:rsidRDefault="007339BF" w:rsidP="00AC55FB">
      <w:pPr>
        <w:spacing w:line="240" w:lineRule="auto"/>
        <w:rPr>
          <w:rFonts w:asciiTheme="majorBidi" w:hAnsiTheme="majorBidi" w:cstheme="majorBidi"/>
          <w:b/>
          <w:bCs/>
          <w:sz w:val="18"/>
          <w:szCs w:val="18"/>
          <w:rtl/>
        </w:rPr>
      </w:pPr>
    </w:p>
    <w:p w:rsidR="00110711" w:rsidRPr="00110711" w:rsidRDefault="00110711" w:rsidP="00AC55FB">
      <w:pPr>
        <w:spacing w:line="240" w:lineRule="auto"/>
        <w:rPr>
          <w:b/>
          <w:bCs/>
          <w:sz w:val="18"/>
          <w:szCs w:val="18"/>
          <w:rtl/>
        </w:rPr>
      </w:pPr>
      <w:r w:rsidRPr="00110711">
        <w:rPr>
          <w:rFonts w:asciiTheme="majorBidi" w:hAnsiTheme="majorBidi" w:cstheme="majorBidi"/>
          <w:b/>
          <w:bCs/>
          <w:sz w:val="18"/>
          <w:szCs w:val="18"/>
          <w:rtl/>
        </w:rPr>
        <w:t xml:space="preserve">الخلاصة – هذا البحث يبحث فى </w:t>
      </w:r>
      <w:r w:rsidR="00AC55FB" w:rsidRPr="00AC55FB">
        <w:rPr>
          <w:rFonts w:ascii="Calibri" w:eastAsia="Calibri" w:hAnsi="Calibri" w:cs="AGA Rasheeq Bold" w:hint="eastAsia"/>
          <w:b/>
          <w:bCs/>
          <w:sz w:val="18"/>
          <w:szCs w:val="18"/>
          <w:rtl/>
        </w:rPr>
        <w:t>الموصول</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لفظًا</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المفصول</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معنىً</w:t>
      </w:r>
    </w:p>
    <w:p w:rsidR="00110711" w:rsidRPr="00110711" w:rsidRDefault="00110711" w:rsidP="007339BF">
      <w:pPr>
        <w:spacing w:before="60" w:line="240" w:lineRule="auto"/>
        <w:rPr>
          <w:rFonts w:asciiTheme="majorBidi" w:eastAsia="Calibri" w:hAnsiTheme="majorBidi" w:cstheme="majorBidi"/>
          <w:b/>
          <w:bCs/>
          <w:sz w:val="18"/>
          <w:szCs w:val="18"/>
          <w:rtl/>
        </w:rPr>
      </w:pPr>
      <w:r w:rsidRPr="00110711">
        <w:rPr>
          <w:rFonts w:asciiTheme="majorBidi" w:eastAsia="Calibri" w:hAnsiTheme="majorBidi" w:cstheme="majorBidi"/>
          <w:b/>
          <w:bCs/>
          <w:sz w:val="18"/>
          <w:szCs w:val="18"/>
          <w:rtl/>
        </w:rPr>
        <w:t xml:space="preserve">الكلمات المفتاحية – </w:t>
      </w:r>
      <w:r w:rsidR="007339BF">
        <w:rPr>
          <w:rFonts w:asciiTheme="majorBidi" w:eastAsia="Calibri" w:hAnsiTheme="majorBidi" w:cstheme="majorBidi" w:hint="cs"/>
          <w:b/>
          <w:bCs/>
          <w:sz w:val="18"/>
          <w:szCs w:val="18"/>
          <w:rtl/>
        </w:rPr>
        <w:t>إشكالات</w:t>
      </w:r>
      <w:r w:rsidRPr="00110711">
        <w:rPr>
          <w:rFonts w:asciiTheme="majorBidi" w:eastAsia="Calibri" w:hAnsiTheme="majorBidi" w:cstheme="majorBidi"/>
          <w:b/>
          <w:bCs/>
          <w:sz w:val="18"/>
          <w:szCs w:val="18"/>
          <w:rtl/>
        </w:rPr>
        <w:t xml:space="preserve">، </w:t>
      </w:r>
      <w:r w:rsidR="007339BF">
        <w:rPr>
          <w:rFonts w:asciiTheme="majorBidi" w:eastAsia="Calibri" w:hAnsiTheme="majorBidi" w:cstheme="majorBidi" w:hint="cs"/>
          <w:b/>
          <w:bCs/>
          <w:sz w:val="18"/>
          <w:szCs w:val="18"/>
          <w:rtl/>
        </w:rPr>
        <w:t xml:space="preserve">الحاكم </w:t>
      </w:r>
      <w:r w:rsidRPr="00110711">
        <w:rPr>
          <w:rFonts w:asciiTheme="majorBidi" w:eastAsia="Calibri" w:hAnsiTheme="majorBidi" w:cstheme="majorBidi"/>
          <w:b/>
          <w:bCs/>
          <w:sz w:val="18"/>
          <w:szCs w:val="18"/>
          <w:rtl/>
        </w:rPr>
        <w:t>،</w:t>
      </w:r>
      <w:r w:rsidR="007339BF">
        <w:rPr>
          <w:rFonts w:asciiTheme="majorBidi" w:eastAsia="Calibri" w:hAnsiTheme="majorBidi" w:cstheme="majorBidi" w:hint="cs"/>
          <w:b/>
          <w:bCs/>
          <w:sz w:val="18"/>
          <w:szCs w:val="18"/>
          <w:rtl/>
        </w:rPr>
        <w:t>الحسن</w:t>
      </w:r>
    </w:p>
    <w:p w:rsidR="00110711" w:rsidRPr="00110711" w:rsidRDefault="007339BF" w:rsidP="007339BF">
      <w:pPr>
        <w:pStyle w:val="ListParagraph"/>
        <w:numPr>
          <w:ilvl w:val="0"/>
          <w:numId w:val="2"/>
        </w:numPr>
        <w:spacing w:before="60"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00110711" w:rsidRPr="00110711">
        <w:rPr>
          <w:rFonts w:asciiTheme="majorBidi" w:hAnsiTheme="majorBidi" w:cstheme="majorBidi"/>
          <w:b/>
          <w:bCs/>
          <w:sz w:val="18"/>
          <w:szCs w:val="18"/>
          <w:rtl/>
        </w:rPr>
        <w:t>المقدمة</w:t>
      </w:r>
    </w:p>
    <w:p w:rsidR="00110711" w:rsidRPr="00110711" w:rsidRDefault="00110711" w:rsidP="00AC55FB">
      <w:pPr>
        <w:spacing w:line="240" w:lineRule="auto"/>
        <w:rPr>
          <w:b/>
          <w:bCs/>
          <w:sz w:val="18"/>
          <w:szCs w:val="18"/>
          <w:rtl/>
        </w:rPr>
      </w:pPr>
      <w:r w:rsidRPr="00110711">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00AC55FB" w:rsidRPr="00AC55FB">
        <w:rPr>
          <w:rFonts w:ascii="Calibri" w:eastAsia="Calibri" w:hAnsi="Calibri" w:cs="AGA Rasheeq Bold" w:hint="eastAsia"/>
          <w:b/>
          <w:bCs/>
          <w:sz w:val="18"/>
          <w:szCs w:val="18"/>
          <w:rtl/>
        </w:rPr>
        <w:t>الموصول</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لفظًا</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المفصول</w:t>
      </w:r>
      <w:r w:rsidR="00AC55FB" w:rsidRPr="00AC55FB">
        <w:rPr>
          <w:rFonts w:ascii="Calibri" w:eastAsia="Calibri" w:hAnsi="Calibri" w:cs="AGA Rasheeq Bold"/>
          <w:b/>
          <w:bCs/>
          <w:sz w:val="18"/>
          <w:szCs w:val="18"/>
          <w:rtl/>
        </w:rPr>
        <w:t xml:space="preserve"> </w:t>
      </w:r>
      <w:r w:rsidR="00AC55FB" w:rsidRPr="00AC55FB">
        <w:rPr>
          <w:rFonts w:ascii="Calibri" w:eastAsia="Calibri" w:hAnsi="Calibri" w:cs="AGA Rasheeq Bold" w:hint="eastAsia"/>
          <w:b/>
          <w:bCs/>
          <w:sz w:val="18"/>
          <w:szCs w:val="18"/>
          <w:rtl/>
        </w:rPr>
        <w:t>معنىً</w:t>
      </w:r>
    </w:p>
    <w:p w:rsidR="00110711" w:rsidRPr="00110711" w:rsidRDefault="007339BF" w:rsidP="007339BF">
      <w:pPr>
        <w:pStyle w:val="ListParagraph"/>
        <w:numPr>
          <w:ilvl w:val="0"/>
          <w:numId w:val="3"/>
        </w:numPr>
        <w:spacing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00110711" w:rsidRPr="00110711">
        <w:rPr>
          <w:rFonts w:asciiTheme="majorBidi" w:hAnsiTheme="majorBidi" w:cstheme="majorBidi"/>
          <w:b/>
          <w:bCs/>
          <w:sz w:val="18"/>
          <w:szCs w:val="18"/>
          <w:rtl/>
        </w:rPr>
        <w:t>عنوان المقال</w:t>
      </w:r>
    </w:p>
    <w:p w:rsidR="001D444F" w:rsidRPr="00110711" w:rsidRDefault="001D444F" w:rsidP="007339BF">
      <w:pPr>
        <w:pStyle w:val="NormalWeb"/>
        <w:bidi/>
        <w:spacing w:after="120"/>
        <w:ind w:left="0" w:right="0"/>
        <w:jc w:val="lowKashida"/>
        <w:rPr>
          <w:rFonts w:cs="AL-Hotham"/>
          <w:b/>
          <w:bCs/>
          <w:sz w:val="18"/>
          <w:szCs w:val="18"/>
        </w:rPr>
      </w:pPr>
      <w:r w:rsidRPr="00110711">
        <w:rPr>
          <w:rFonts w:cs="AL-Hotham"/>
          <w:b/>
          <w:bCs/>
          <w:sz w:val="18"/>
          <w:szCs w:val="18"/>
          <w:rtl/>
        </w:rPr>
        <w:t xml:space="preserve">قال السيوطي: "وهو نوع مهم جدير أن يفرد بالتصنيف، وهو أصل كبير في الوقف، وبه يحصل حلّ إشكالات، وكشف معضلات كثيرة". قال: </w:t>
      </w:r>
      <w:r w:rsidRPr="00110711">
        <w:rPr>
          <w:rFonts w:cs="AL-Hotham" w:hint="cs"/>
          <w:b/>
          <w:bCs/>
          <w:sz w:val="18"/>
          <w:szCs w:val="18"/>
          <w:rtl/>
        </w:rPr>
        <w:t>"</w:t>
      </w:r>
      <w:r w:rsidRPr="00110711">
        <w:rPr>
          <w:rFonts w:cs="AL-Hotham"/>
          <w:b/>
          <w:bCs/>
          <w:sz w:val="18"/>
          <w:szCs w:val="18"/>
          <w:rtl/>
        </w:rPr>
        <w:t>فإن الآية في قصة آدم وحواء، كما يفهمه السياق، وصرّح به في حديث أخرجه أحمد</w:t>
      </w:r>
      <w:r w:rsidRPr="00110711">
        <w:rPr>
          <w:rFonts w:cs="AL-Hotham" w:hint="cs"/>
          <w:b/>
          <w:bCs/>
          <w:sz w:val="18"/>
          <w:szCs w:val="18"/>
          <w:rtl/>
        </w:rPr>
        <w:t>،</w:t>
      </w:r>
      <w:r w:rsidRPr="00110711">
        <w:rPr>
          <w:rFonts w:cs="AL-Hotham"/>
          <w:b/>
          <w:bCs/>
          <w:sz w:val="18"/>
          <w:szCs w:val="18"/>
          <w:rtl/>
        </w:rPr>
        <w:t xml:space="preserve"> والترمذي وحسّنه، والحاكم وصحّحه، من طريق الحسن عن سمرة مرفوعًا. وأخرجه ابن أبي حاتم وغيره بسند صحيح، عن ابن عباس، لكن آخر الآية مشكل؛ حيث نسب الإشراك إلى آدم وحواء، وآدم نبي</w:t>
      </w:r>
      <w:r w:rsidRPr="00110711">
        <w:rPr>
          <w:rFonts w:cs="AL-Hotham" w:hint="cs"/>
          <w:b/>
          <w:bCs/>
          <w:sz w:val="18"/>
          <w:szCs w:val="18"/>
          <w:rtl/>
        </w:rPr>
        <w:t>ّ</w:t>
      </w:r>
      <w:r w:rsidRPr="00110711">
        <w:rPr>
          <w:rFonts w:cs="AL-Hotham"/>
          <w:b/>
          <w:bCs/>
          <w:sz w:val="18"/>
          <w:szCs w:val="18"/>
          <w:rtl/>
        </w:rPr>
        <w:t xml:space="preserve"> مكلّ</w:t>
      </w:r>
      <w:r w:rsidRPr="00110711">
        <w:rPr>
          <w:rFonts w:cs="AL-Hotham" w:hint="cs"/>
          <w:b/>
          <w:bCs/>
          <w:sz w:val="18"/>
          <w:szCs w:val="18"/>
          <w:rtl/>
        </w:rPr>
        <w:t>َ</w:t>
      </w:r>
      <w:r w:rsidRPr="00110711">
        <w:rPr>
          <w:rFonts w:cs="AL-Hotham"/>
          <w:b/>
          <w:bCs/>
          <w:sz w:val="18"/>
          <w:szCs w:val="18"/>
          <w:rtl/>
        </w:rPr>
        <w:t>م، والأنبياء معصومون من الشرك قبل النبوة وبعدها إجماعًا. وقد جرّ ذلك بعضهم إلى حمل الآية على غير آدم وحواء، وأنها في رجل وزوجته كانا من أهل الملك</w:t>
      </w:r>
      <w:r w:rsidRPr="00110711">
        <w:rPr>
          <w:rFonts w:cs="AL-Hotham" w:hint="cs"/>
          <w:b/>
          <w:bCs/>
          <w:sz w:val="18"/>
          <w:szCs w:val="18"/>
          <w:rtl/>
        </w:rPr>
        <w:t>.</w:t>
      </w:r>
      <w:r w:rsidRPr="00110711">
        <w:rPr>
          <w:rFonts w:cs="AL-Hotham"/>
          <w:b/>
          <w:bCs/>
          <w:sz w:val="18"/>
          <w:szCs w:val="18"/>
          <w:rtl/>
        </w:rPr>
        <w:t xml:space="preserve"> وتعدّى إلى تعليل الحديث، والحكم بنكارته، وما زلت في وقفة من ذلك، حتى رأيت ابن أبي حاتم قال: </w:t>
      </w:r>
      <w:r w:rsidRPr="00110711">
        <w:rPr>
          <w:rFonts w:cs="AL-Hotham" w:hint="cs"/>
          <w:b/>
          <w:bCs/>
          <w:sz w:val="18"/>
          <w:szCs w:val="18"/>
          <w:rtl/>
        </w:rPr>
        <w:t>"</w:t>
      </w:r>
      <w:r w:rsidRPr="00110711">
        <w:rPr>
          <w:rFonts w:cs="AL-Hotham"/>
          <w:b/>
          <w:bCs/>
          <w:sz w:val="18"/>
          <w:szCs w:val="18"/>
          <w:rtl/>
        </w:rPr>
        <w:t>أخبرنا أحمد بن عثمان بن حكيم</w:t>
      </w:r>
      <w:r w:rsidRPr="00110711">
        <w:rPr>
          <w:rFonts w:cs="AL-Hotham" w:hint="cs"/>
          <w:b/>
          <w:bCs/>
          <w:sz w:val="18"/>
          <w:szCs w:val="18"/>
          <w:rtl/>
        </w:rPr>
        <w:t>:</w:t>
      </w:r>
      <w:r w:rsidRPr="00110711">
        <w:rPr>
          <w:rFonts w:cs="AL-Hotham"/>
          <w:b/>
          <w:bCs/>
          <w:sz w:val="18"/>
          <w:szCs w:val="18"/>
          <w:rtl/>
        </w:rPr>
        <w:t xml:space="preserve"> حدثنا أحمد بن مفضل</w:t>
      </w:r>
      <w:r w:rsidRPr="00110711">
        <w:rPr>
          <w:rFonts w:cs="AL-Hotham" w:hint="cs"/>
          <w:b/>
          <w:bCs/>
          <w:sz w:val="18"/>
          <w:szCs w:val="18"/>
          <w:rtl/>
        </w:rPr>
        <w:t>:</w:t>
      </w:r>
      <w:r w:rsidRPr="00110711">
        <w:rPr>
          <w:rFonts w:cs="AL-Hotham"/>
          <w:b/>
          <w:bCs/>
          <w:sz w:val="18"/>
          <w:szCs w:val="18"/>
          <w:rtl/>
        </w:rPr>
        <w:t xml:space="preserve"> حدثنا أسباط عن السدي في قوله: </w:t>
      </w:r>
      <w:r w:rsidRPr="00110711">
        <w:rPr>
          <w:rFonts w:cs="DecoType Thuluth" w:hint="cs"/>
          <w:b/>
          <w:bCs/>
          <w:sz w:val="18"/>
          <w:szCs w:val="18"/>
          <w:rtl/>
        </w:rPr>
        <w:t>{</w:t>
      </w:r>
      <w:r w:rsidRPr="00110711">
        <w:rPr>
          <w:rFonts w:ascii="QCF_P175" w:hAnsi="QCF_P175" w:cs="QCF_P175"/>
          <w:b/>
          <w:bCs/>
          <w:sz w:val="18"/>
          <w:szCs w:val="18"/>
          <w:rtl/>
        </w:rPr>
        <w:t>ﮚ ﮛ ﮜ ﮝ</w:t>
      </w:r>
      <w:r w:rsidRPr="00110711">
        <w:rPr>
          <w:rFonts w:cs="DecoType Thuluth" w:hint="cs"/>
          <w:b/>
          <w:bCs/>
          <w:sz w:val="18"/>
          <w:szCs w:val="18"/>
          <w:rtl/>
        </w:rPr>
        <w:t xml:space="preserve">} </w:t>
      </w:r>
      <w:r w:rsidRPr="00110711">
        <w:rPr>
          <w:rFonts w:cs="AL-Hotham" w:hint="cs"/>
          <w:b/>
          <w:bCs/>
          <w:sz w:val="18"/>
          <w:szCs w:val="18"/>
          <w:rtl/>
        </w:rPr>
        <w:t xml:space="preserve"> </w:t>
      </w:r>
      <w:r w:rsidRPr="00110711">
        <w:rPr>
          <w:rFonts w:cs="AL-Hotham"/>
          <w:b/>
          <w:bCs/>
          <w:sz w:val="18"/>
          <w:szCs w:val="18"/>
          <w:rtl/>
        </w:rPr>
        <w:t>قال: هذه فصل من آية آدم، خاصة في آلهة العرب</w:t>
      </w:r>
      <w:r w:rsidRPr="00110711">
        <w:rPr>
          <w:rFonts w:cs="AL-Hotham" w:hint="cs"/>
          <w:b/>
          <w:bCs/>
          <w:sz w:val="18"/>
          <w:szCs w:val="18"/>
          <w:rtl/>
        </w:rPr>
        <w:t>"</w:t>
      </w:r>
      <w:r w:rsidRPr="00110711">
        <w:rPr>
          <w:rFonts w:cs="AL-Hotham"/>
          <w:b/>
          <w:bCs/>
          <w:sz w:val="18"/>
          <w:szCs w:val="18"/>
          <w:rtl/>
        </w:rPr>
        <w:t>.</w:t>
      </w:r>
    </w:p>
    <w:p w:rsidR="001D444F" w:rsidRPr="00110711" w:rsidRDefault="001D444F" w:rsidP="00110711">
      <w:pPr>
        <w:pStyle w:val="NormalWeb"/>
        <w:bidi/>
        <w:spacing w:after="120"/>
        <w:ind w:left="0" w:right="0"/>
        <w:rPr>
          <w:rFonts w:cs="AL-Hotham"/>
          <w:b/>
          <w:bCs/>
          <w:sz w:val="18"/>
          <w:szCs w:val="18"/>
        </w:rPr>
      </w:pPr>
      <w:r w:rsidRPr="00110711">
        <w:rPr>
          <w:rFonts w:cs="AL-Hotham"/>
          <w:b/>
          <w:bCs/>
          <w:sz w:val="18"/>
          <w:szCs w:val="18"/>
          <w:rtl/>
        </w:rPr>
        <w:t xml:space="preserve">وقال عبد الرزاق: أخبرنا ابن عيينة، سمعت صدقة بن عبد الله بن كثير المكي يحدث عن السّدّي، قال: </w:t>
      </w:r>
      <w:r w:rsidRPr="00110711">
        <w:rPr>
          <w:rFonts w:cs="AL-Hotham" w:hint="cs"/>
          <w:b/>
          <w:bCs/>
          <w:sz w:val="18"/>
          <w:szCs w:val="18"/>
          <w:rtl/>
        </w:rPr>
        <w:t>"</w:t>
      </w:r>
      <w:r w:rsidRPr="00110711">
        <w:rPr>
          <w:rFonts w:cs="AL-Hotham"/>
          <w:b/>
          <w:bCs/>
          <w:sz w:val="18"/>
          <w:szCs w:val="18"/>
          <w:rtl/>
        </w:rPr>
        <w:t>هذا من الموصول المفصول</w:t>
      </w:r>
      <w:r w:rsidRPr="00110711">
        <w:rPr>
          <w:rFonts w:cs="AL-Hotham" w:hint="cs"/>
          <w:b/>
          <w:bCs/>
          <w:sz w:val="18"/>
          <w:szCs w:val="18"/>
          <w:rtl/>
        </w:rPr>
        <w:t>"</w:t>
      </w:r>
      <w:r w:rsidRPr="00110711">
        <w:rPr>
          <w:rFonts w:cs="AL-Hotham"/>
          <w:b/>
          <w:bCs/>
          <w:sz w:val="18"/>
          <w:szCs w:val="18"/>
          <w:rtl/>
        </w:rPr>
        <w:t xml:space="preserve">. ثم قال: </w:t>
      </w:r>
      <w:r w:rsidRPr="00110711">
        <w:rPr>
          <w:rFonts w:cs="AL-Hotham" w:hint="cs"/>
          <w:b/>
          <w:bCs/>
          <w:sz w:val="18"/>
          <w:szCs w:val="18"/>
          <w:rtl/>
        </w:rPr>
        <w:t>"</w:t>
      </w:r>
      <w:r w:rsidRPr="00110711">
        <w:rPr>
          <w:rFonts w:cs="AL-Hotham"/>
          <w:b/>
          <w:bCs/>
          <w:sz w:val="18"/>
          <w:szCs w:val="18"/>
          <w:rtl/>
        </w:rPr>
        <w:t>فانحلّت عني هذه العقدة، وانجلت لي هذه المعضلة، وات</w:t>
      </w:r>
      <w:r w:rsidRPr="00110711">
        <w:rPr>
          <w:rFonts w:cs="AL-Hotham" w:hint="cs"/>
          <w:b/>
          <w:bCs/>
          <w:sz w:val="18"/>
          <w:szCs w:val="18"/>
          <w:rtl/>
        </w:rPr>
        <w:t>ّ</w:t>
      </w:r>
      <w:r w:rsidRPr="00110711">
        <w:rPr>
          <w:rFonts w:cs="AL-Hotham"/>
          <w:b/>
          <w:bCs/>
          <w:sz w:val="18"/>
          <w:szCs w:val="18"/>
          <w:rtl/>
        </w:rPr>
        <w:t>ضح بذلك</w:t>
      </w:r>
      <w:r w:rsidRPr="00110711">
        <w:rPr>
          <w:rFonts w:cs="AL-Hotham" w:hint="cs"/>
          <w:b/>
          <w:bCs/>
          <w:sz w:val="18"/>
          <w:szCs w:val="18"/>
          <w:rtl/>
        </w:rPr>
        <w:t>:</w:t>
      </w:r>
      <w:r w:rsidRPr="00110711">
        <w:rPr>
          <w:rFonts w:cs="AL-Hotham"/>
          <w:b/>
          <w:bCs/>
          <w:sz w:val="18"/>
          <w:szCs w:val="18"/>
          <w:rtl/>
        </w:rPr>
        <w:t xml:space="preserve"> أن آخ</w:t>
      </w:r>
      <w:r w:rsidRPr="00110711">
        <w:rPr>
          <w:rFonts w:cs="AL-Hotham" w:hint="cs"/>
          <w:b/>
          <w:bCs/>
          <w:sz w:val="18"/>
          <w:szCs w:val="18"/>
          <w:rtl/>
        </w:rPr>
        <w:t>ِ</w:t>
      </w:r>
      <w:r w:rsidRPr="00110711">
        <w:rPr>
          <w:rFonts w:cs="AL-Hotham"/>
          <w:b/>
          <w:bCs/>
          <w:sz w:val="18"/>
          <w:szCs w:val="18"/>
          <w:rtl/>
        </w:rPr>
        <w:t>ر قصة آدم وحواء</w:t>
      </w:r>
      <w:r w:rsidRPr="00110711">
        <w:rPr>
          <w:rFonts w:cs="AL-Hotham" w:hint="cs"/>
          <w:b/>
          <w:bCs/>
          <w:sz w:val="18"/>
          <w:szCs w:val="18"/>
          <w:rtl/>
        </w:rPr>
        <w:t xml:space="preserve">: </w:t>
      </w:r>
      <w:r w:rsidRPr="00110711">
        <w:rPr>
          <w:rFonts w:cs="DecoType Thuluth" w:hint="cs"/>
          <w:b/>
          <w:bCs/>
          <w:sz w:val="18"/>
          <w:szCs w:val="18"/>
          <w:rtl/>
        </w:rPr>
        <w:t>{</w:t>
      </w:r>
      <w:r w:rsidRPr="00110711">
        <w:rPr>
          <w:rFonts w:ascii="QCF_P175" w:hAnsi="QCF_P175" w:cs="QCF_P175"/>
          <w:b/>
          <w:bCs/>
          <w:sz w:val="18"/>
          <w:szCs w:val="18"/>
          <w:rtl/>
        </w:rPr>
        <w:t>ﮗ ﮘ ﮙ</w:t>
      </w:r>
      <w:r w:rsidRPr="00110711">
        <w:rPr>
          <w:rFonts w:cs="DecoType Thuluth" w:hint="cs"/>
          <w:b/>
          <w:bCs/>
          <w:sz w:val="18"/>
          <w:szCs w:val="18"/>
          <w:rtl/>
        </w:rPr>
        <w:t>}،</w:t>
      </w:r>
      <w:r w:rsidRPr="00110711">
        <w:rPr>
          <w:rFonts w:cs="AL-Hotham"/>
          <w:b/>
          <w:bCs/>
          <w:sz w:val="18"/>
          <w:szCs w:val="18"/>
          <w:rtl/>
        </w:rPr>
        <w:t xml:space="preserve"> وأن</w:t>
      </w:r>
      <w:r w:rsidRPr="00110711">
        <w:rPr>
          <w:rFonts w:cs="AL-Hotham" w:hint="cs"/>
          <w:b/>
          <w:bCs/>
          <w:sz w:val="18"/>
          <w:szCs w:val="18"/>
          <w:rtl/>
        </w:rPr>
        <w:t>ّ</w:t>
      </w:r>
      <w:r w:rsidRPr="00110711">
        <w:rPr>
          <w:rFonts w:cs="AL-Hotham"/>
          <w:b/>
          <w:bCs/>
          <w:sz w:val="18"/>
          <w:szCs w:val="18"/>
          <w:rtl/>
        </w:rPr>
        <w:t xml:space="preserve"> ما بعده تخلص إلى قصة العرب وإشراكهم الأصنام؛ ويوضّح ذلك: تغيير الضمير إلى الجمع بعد التثنية</w:t>
      </w:r>
      <w:r w:rsidRPr="00110711">
        <w:rPr>
          <w:rFonts w:cs="AL-Hotham" w:hint="cs"/>
          <w:b/>
          <w:bCs/>
          <w:sz w:val="18"/>
          <w:szCs w:val="18"/>
          <w:rtl/>
        </w:rPr>
        <w:t>.</w:t>
      </w:r>
      <w:r w:rsidRPr="00110711">
        <w:rPr>
          <w:rFonts w:cs="AL-Hotham"/>
          <w:b/>
          <w:bCs/>
          <w:sz w:val="18"/>
          <w:szCs w:val="18"/>
          <w:rtl/>
        </w:rPr>
        <w:t xml:space="preserve"> ولو كانت القصة واحدة، لقال: </w:t>
      </w:r>
      <w:r w:rsidRPr="00110711">
        <w:rPr>
          <w:rFonts w:cs="AL-Hotham" w:hint="cs"/>
          <w:b/>
          <w:bCs/>
          <w:sz w:val="18"/>
          <w:szCs w:val="18"/>
          <w:rtl/>
        </w:rPr>
        <w:t>"</w:t>
      </w:r>
      <w:r w:rsidRPr="00110711">
        <w:rPr>
          <w:rFonts w:cs="AL-Hotham"/>
          <w:b/>
          <w:bCs/>
          <w:sz w:val="18"/>
          <w:szCs w:val="18"/>
          <w:rtl/>
        </w:rPr>
        <w:t>عم</w:t>
      </w:r>
      <w:r w:rsidRPr="00110711">
        <w:rPr>
          <w:rFonts w:cs="AL-Hotham" w:hint="cs"/>
          <w:b/>
          <w:bCs/>
          <w:sz w:val="18"/>
          <w:szCs w:val="18"/>
          <w:rtl/>
        </w:rPr>
        <w:t>ّ</w:t>
      </w:r>
      <w:r w:rsidRPr="00110711">
        <w:rPr>
          <w:rFonts w:cs="AL-Hotham"/>
          <w:b/>
          <w:bCs/>
          <w:sz w:val="18"/>
          <w:szCs w:val="18"/>
          <w:rtl/>
        </w:rPr>
        <w:t>ا ي</w:t>
      </w:r>
      <w:r w:rsidRPr="00110711">
        <w:rPr>
          <w:rFonts w:cs="AL-Hotham" w:hint="cs"/>
          <w:b/>
          <w:bCs/>
          <w:sz w:val="18"/>
          <w:szCs w:val="18"/>
          <w:rtl/>
        </w:rPr>
        <w:t>ُ</w:t>
      </w:r>
      <w:r w:rsidRPr="00110711">
        <w:rPr>
          <w:rFonts w:cs="AL-Hotham"/>
          <w:b/>
          <w:bCs/>
          <w:sz w:val="18"/>
          <w:szCs w:val="18"/>
          <w:rtl/>
        </w:rPr>
        <w:t>شركان</w:t>
      </w:r>
      <w:r w:rsidRPr="00110711">
        <w:rPr>
          <w:rFonts w:cs="AL-Hotham" w:hint="cs"/>
          <w:b/>
          <w:bCs/>
          <w:sz w:val="18"/>
          <w:szCs w:val="18"/>
          <w:rtl/>
        </w:rPr>
        <w:t>"</w:t>
      </w:r>
      <w:r w:rsidRPr="00110711">
        <w:rPr>
          <w:rFonts w:cs="AL-Hotham"/>
          <w:b/>
          <w:bCs/>
          <w:sz w:val="18"/>
          <w:szCs w:val="18"/>
          <w:rtl/>
        </w:rPr>
        <w:t>، كقوله:</w:t>
      </w:r>
      <w:r w:rsidRPr="00110711">
        <w:rPr>
          <w:rFonts w:ascii="QCF_BSML" w:hAnsi="QCF_BSML" w:cs="AL-Hotham"/>
          <w:b/>
          <w:bCs/>
          <w:sz w:val="18"/>
          <w:szCs w:val="18"/>
          <w:rtl/>
        </w:rPr>
        <w:t xml:space="preserve"> </w:t>
      </w:r>
      <w:r w:rsidRPr="00110711">
        <w:rPr>
          <w:rFonts w:cs="DecoType Thuluth" w:hint="cs"/>
          <w:b/>
          <w:bCs/>
          <w:sz w:val="18"/>
          <w:szCs w:val="18"/>
          <w:rtl/>
        </w:rPr>
        <w:t>{</w:t>
      </w:r>
      <w:r w:rsidRPr="00110711">
        <w:rPr>
          <w:rFonts w:ascii="QCF_P175" w:hAnsi="QCF_P175" w:cs="QCF_P175"/>
          <w:b/>
          <w:bCs/>
          <w:sz w:val="18"/>
          <w:szCs w:val="18"/>
          <w:rtl/>
        </w:rPr>
        <w:t>ﮇ ﮈ ﮉ ﮊ ﮋ ﮌ ﮍ ﮎ ﮏ ﮐ</w:t>
      </w:r>
      <w:r w:rsidRPr="00110711">
        <w:rPr>
          <w:rFonts w:cs="DecoType Thuluth" w:hint="cs"/>
          <w:b/>
          <w:bCs/>
          <w:sz w:val="18"/>
          <w:szCs w:val="18"/>
          <w:rtl/>
        </w:rPr>
        <w:t xml:space="preserve"> </w:t>
      </w:r>
      <w:r w:rsidRPr="00110711">
        <w:rPr>
          <w:rFonts w:ascii="QCF_P175" w:hAnsi="QCF_P175" w:cs="QCF_P175"/>
          <w:b/>
          <w:bCs/>
          <w:sz w:val="18"/>
          <w:szCs w:val="18"/>
          <w:rtl/>
        </w:rPr>
        <w:t>ﮑ ﮒ ﮓ ﮔ ﮕ ﮖ ﮗ ﮘ ﮙ</w:t>
      </w:r>
      <w:r w:rsidRPr="00110711">
        <w:rPr>
          <w:rFonts w:cs="DecoType Thuluth" w:hint="cs"/>
          <w:b/>
          <w:bCs/>
          <w:sz w:val="18"/>
          <w:szCs w:val="18"/>
          <w:rtl/>
        </w:rPr>
        <w:t xml:space="preserve">} </w:t>
      </w:r>
      <w:r w:rsidRPr="00110711">
        <w:rPr>
          <w:rFonts w:cs="AL-Hotham"/>
          <w:b/>
          <w:bCs/>
          <w:sz w:val="18"/>
          <w:szCs w:val="18"/>
          <w:rtl/>
        </w:rPr>
        <w:t xml:space="preserve">[الأعراف: </w:t>
      </w:r>
      <w:r w:rsidRPr="00110711">
        <w:rPr>
          <w:rFonts w:cs="AL-Hotham" w:hint="cs"/>
          <w:b/>
          <w:bCs/>
          <w:sz w:val="18"/>
          <w:szCs w:val="18"/>
          <w:rtl/>
        </w:rPr>
        <w:t xml:space="preserve">189: </w:t>
      </w:r>
      <w:r w:rsidRPr="00110711">
        <w:rPr>
          <w:rFonts w:cs="AL-Hotham"/>
          <w:b/>
          <w:bCs/>
          <w:sz w:val="18"/>
          <w:szCs w:val="18"/>
          <w:rtl/>
        </w:rPr>
        <w:t>190]</w:t>
      </w:r>
      <w:r w:rsidRPr="00110711">
        <w:rPr>
          <w:rFonts w:cs="DecoType Thuluth" w:hint="cs"/>
          <w:b/>
          <w:bCs/>
          <w:sz w:val="18"/>
          <w:szCs w:val="18"/>
          <w:rtl/>
        </w:rPr>
        <w:t>.</w:t>
      </w:r>
      <w:r w:rsidRPr="00110711">
        <w:rPr>
          <w:rFonts w:cs="AL-Hotham"/>
          <w:b/>
          <w:bCs/>
          <w:sz w:val="18"/>
          <w:szCs w:val="18"/>
          <w:rtl/>
        </w:rPr>
        <w:t xml:space="preserve"> وكذلك الضمائر في قوله بعده: </w:t>
      </w:r>
      <w:r w:rsidRPr="00110711">
        <w:rPr>
          <w:rFonts w:cs="DecoType Thuluth" w:hint="cs"/>
          <w:b/>
          <w:bCs/>
          <w:sz w:val="18"/>
          <w:szCs w:val="18"/>
          <w:rtl/>
        </w:rPr>
        <w:t>{</w:t>
      </w:r>
      <w:r w:rsidRPr="00110711">
        <w:rPr>
          <w:rFonts w:ascii="QCF_P175" w:hAnsi="QCF_P175" w:cs="QCF_P175"/>
          <w:b/>
          <w:bCs/>
          <w:sz w:val="18"/>
          <w:szCs w:val="18"/>
          <w:rtl/>
        </w:rPr>
        <w:t>ﮟ ﮠ ﮡ ﮢ ﮣ</w:t>
      </w:r>
      <w:r w:rsidRPr="00110711">
        <w:rPr>
          <w:rFonts w:cs="DecoType Thuluth" w:hint="cs"/>
          <w:b/>
          <w:bCs/>
          <w:sz w:val="18"/>
          <w:szCs w:val="18"/>
          <w:rtl/>
        </w:rPr>
        <w:t xml:space="preserve">} </w:t>
      </w:r>
      <w:r w:rsidRPr="00110711">
        <w:rPr>
          <w:rFonts w:cs="AL-Hotham"/>
          <w:b/>
          <w:bCs/>
          <w:sz w:val="18"/>
          <w:szCs w:val="18"/>
          <w:rtl/>
        </w:rPr>
        <w:t>[الأعراف: 191]</w:t>
      </w:r>
      <w:r w:rsidRPr="00110711">
        <w:rPr>
          <w:rFonts w:cs="AL-Hotham" w:hint="cs"/>
          <w:b/>
          <w:bCs/>
          <w:sz w:val="18"/>
          <w:szCs w:val="18"/>
          <w:rtl/>
        </w:rPr>
        <w:t xml:space="preserve"> </w:t>
      </w:r>
      <w:r w:rsidRPr="00110711">
        <w:rPr>
          <w:rFonts w:cs="AL-Hotham"/>
          <w:b/>
          <w:bCs/>
          <w:sz w:val="18"/>
          <w:szCs w:val="18"/>
          <w:rtl/>
        </w:rPr>
        <w:t>وما بعده إلى آخ</w:t>
      </w:r>
      <w:r w:rsidRPr="00110711">
        <w:rPr>
          <w:rFonts w:cs="AL-Hotham" w:hint="cs"/>
          <w:b/>
          <w:bCs/>
          <w:sz w:val="18"/>
          <w:szCs w:val="18"/>
          <w:rtl/>
        </w:rPr>
        <w:t>ِ</w:t>
      </w:r>
      <w:r w:rsidRPr="00110711">
        <w:rPr>
          <w:rFonts w:cs="AL-Hotham"/>
          <w:b/>
          <w:bCs/>
          <w:sz w:val="18"/>
          <w:szCs w:val="18"/>
          <w:rtl/>
        </w:rPr>
        <w:t>ر الآيات</w:t>
      </w:r>
      <w:r w:rsidRPr="00110711">
        <w:rPr>
          <w:rFonts w:cs="AL-Hotham" w:hint="cs"/>
          <w:b/>
          <w:bCs/>
          <w:sz w:val="18"/>
          <w:szCs w:val="18"/>
          <w:rtl/>
        </w:rPr>
        <w:t>.</w:t>
      </w:r>
      <w:r w:rsidRPr="00110711">
        <w:rPr>
          <w:rFonts w:cs="AL-Hotham"/>
          <w:b/>
          <w:bCs/>
          <w:sz w:val="18"/>
          <w:szCs w:val="18"/>
          <w:rtl/>
        </w:rPr>
        <w:t xml:space="preserve"> وحسن التخلص والاستطراد من أساليب القرآن</w:t>
      </w:r>
      <w:r w:rsidRPr="00110711">
        <w:rPr>
          <w:rFonts w:cs="AL-Hotham" w:hint="cs"/>
          <w:b/>
          <w:bCs/>
          <w:sz w:val="18"/>
          <w:szCs w:val="18"/>
          <w:rtl/>
        </w:rPr>
        <w:t>"</w:t>
      </w:r>
      <w:r w:rsidRPr="00110711">
        <w:rPr>
          <w:rFonts w:cs="AL-Hotham"/>
          <w:b/>
          <w:bCs/>
          <w:sz w:val="18"/>
          <w:szCs w:val="18"/>
          <w:rtl/>
        </w:rPr>
        <w:t>.</w:t>
      </w:r>
    </w:p>
    <w:p w:rsidR="001D444F" w:rsidRPr="00110711" w:rsidRDefault="001D444F" w:rsidP="00110711">
      <w:pPr>
        <w:pStyle w:val="NormalWeb"/>
        <w:bidi/>
        <w:spacing w:after="120"/>
        <w:ind w:left="0" w:right="0"/>
        <w:jc w:val="lowKashida"/>
        <w:rPr>
          <w:rFonts w:cs="AL-Hotham"/>
          <w:b/>
          <w:bCs/>
          <w:sz w:val="18"/>
          <w:szCs w:val="18"/>
          <w:rtl/>
        </w:rPr>
      </w:pPr>
      <w:r w:rsidRPr="00110711">
        <w:rPr>
          <w:rFonts w:cs="AL-Hotham"/>
          <w:b/>
          <w:bCs/>
          <w:sz w:val="18"/>
          <w:szCs w:val="18"/>
          <w:rtl/>
        </w:rPr>
        <w:t>قلت: والصواب أن حديث سمرة ضعيف، لأن الحسن لم يسمع منه، وقد فس</w:t>
      </w:r>
      <w:r w:rsidRPr="00110711">
        <w:rPr>
          <w:rFonts w:cs="AL-Hotham" w:hint="cs"/>
          <w:b/>
          <w:bCs/>
          <w:sz w:val="18"/>
          <w:szCs w:val="18"/>
          <w:rtl/>
        </w:rPr>
        <w:t>ّ</w:t>
      </w:r>
      <w:r w:rsidRPr="00110711">
        <w:rPr>
          <w:rFonts w:cs="AL-Hotham"/>
          <w:b/>
          <w:bCs/>
          <w:sz w:val="18"/>
          <w:szCs w:val="18"/>
          <w:rtl/>
        </w:rPr>
        <w:t xml:space="preserve">ر الحسن هذه الآية بغير ذلك، ولو كان ثابتًا عنده لما عدل عنه، ولكنه مفصول فعلًا، ولكن عند قوله: </w:t>
      </w:r>
      <w:r w:rsidRPr="00110711">
        <w:rPr>
          <w:rFonts w:cs="DecoType Thuluth" w:hint="cs"/>
          <w:b/>
          <w:bCs/>
          <w:sz w:val="18"/>
          <w:szCs w:val="18"/>
          <w:rtl/>
        </w:rPr>
        <w:t>{</w:t>
      </w:r>
      <w:r w:rsidRPr="00110711">
        <w:rPr>
          <w:rFonts w:ascii="QCF_P175" w:hAnsi="QCF_P175" w:cs="QCF_P175"/>
          <w:b/>
          <w:bCs/>
          <w:sz w:val="18"/>
          <w:szCs w:val="18"/>
          <w:rtl/>
        </w:rPr>
        <w:t>ﭺ ﭻ ﭼ</w:t>
      </w:r>
      <w:r w:rsidRPr="00110711">
        <w:rPr>
          <w:rFonts w:cs="DecoType Thuluth" w:hint="cs"/>
          <w:b/>
          <w:bCs/>
          <w:sz w:val="18"/>
          <w:szCs w:val="18"/>
          <w:rtl/>
        </w:rPr>
        <w:t>} ؛</w:t>
      </w:r>
      <w:r w:rsidRPr="00110711">
        <w:rPr>
          <w:rFonts w:cs="AL-Hotham"/>
          <w:b/>
          <w:bCs/>
          <w:sz w:val="18"/>
          <w:szCs w:val="18"/>
          <w:rtl/>
        </w:rPr>
        <w:t xml:space="preserve"> حيث انتهى الكلام عن آدم وحواء، ثم تخل</w:t>
      </w:r>
      <w:r w:rsidRPr="00110711">
        <w:rPr>
          <w:rFonts w:cs="AL-Hotham" w:hint="cs"/>
          <w:b/>
          <w:bCs/>
          <w:sz w:val="18"/>
          <w:szCs w:val="18"/>
          <w:rtl/>
        </w:rPr>
        <w:t>ّ</w:t>
      </w:r>
      <w:r w:rsidRPr="00110711">
        <w:rPr>
          <w:rFonts w:cs="AL-Hotham"/>
          <w:b/>
          <w:bCs/>
          <w:sz w:val="18"/>
          <w:szCs w:val="18"/>
          <w:rtl/>
        </w:rPr>
        <w:t>ص إلى كل زوجين مشركين يشركان بالله فيما آتاهما من الولد؛ ولذا حسن الجمع في آخر الكلام لتعد</w:t>
      </w:r>
      <w:r w:rsidRPr="00110711">
        <w:rPr>
          <w:rFonts w:cs="AL-Hotham" w:hint="cs"/>
          <w:b/>
          <w:bCs/>
          <w:sz w:val="18"/>
          <w:szCs w:val="18"/>
          <w:rtl/>
        </w:rPr>
        <w:t>ّ</w:t>
      </w:r>
      <w:r w:rsidRPr="00110711">
        <w:rPr>
          <w:rFonts w:cs="AL-Hotham"/>
          <w:b/>
          <w:bCs/>
          <w:sz w:val="18"/>
          <w:szCs w:val="18"/>
          <w:rtl/>
        </w:rPr>
        <w:t>د الزوجين المشركين، وإن كان التعبير عن المثنى بالجمع مقبول ومشهور، وأمثلته كثيرة.</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 xml:space="preserve">(الإتقان في علوم القرآن) </w:t>
      </w:r>
    </w:p>
    <w:p w:rsidR="001D444F" w:rsidRPr="00110711" w:rsidRDefault="001D444F" w:rsidP="00110711">
      <w:pPr>
        <w:spacing w:after="120" w:line="240" w:lineRule="auto"/>
        <w:ind w:left="363" w:hanging="79"/>
        <w:jc w:val="both"/>
        <w:rPr>
          <w:rFonts w:asciiTheme="majorBidi" w:hAnsiTheme="majorBidi" w:cstheme="majorBidi"/>
          <w:b/>
          <w:bCs/>
          <w:sz w:val="18"/>
          <w:szCs w:val="18"/>
        </w:rPr>
      </w:pPr>
      <w:r w:rsidRPr="00110711">
        <w:rPr>
          <w:rFonts w:asciiTheme="majorBidi" w:hAnsiTheme="majorBidi" w:cstheme="majorBidi"/>
          <w:b/>
          <w:bCs/>
          <w:sz w:val="18"/>
          <w:szCs w:val="18"/>
          <w:rtl/>
        </w:rPr>
        <w:t>أبو بكر عبد الرحمن بن الكمال السيوطي, الهيئة المصرية العامة للكتاب، 1974م.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(إعجاز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Pr>
      </w:pPr>
      <w:r w:rsidRPr="00110711">
        <w:rPr>
          <w:rFonts w:asciiTheme="majorBidi" w:hAnsiTheme="majorBidi" w:cstheme="majorBidi"/>
          <w:b/>
          <w:bCs/>
          <w:sz w:val="18"/>
          <w:szCs w:val="18"/>
          <w:rtl/>
        </w:rPr>
        <w:t>أبو بكر بن الطيب الباقلاني، تحقيق: عماد الدين حيدر، مؤسسة الكتب الثقافية، 1991م.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(البرهان في علوم القرآن)</w:t>
      </w:r>
    </w:p>
    <w:p w:rsidR="007339BF" w:rsidRDefault="007339BF" w:rsidP="00110711">
      <w:pPr>
        <w:spacing w:after="120" w:line="240" w:lineRule="auto"/>
        <w:ind w:left="363" w:hanging="79"/>
        <w:jc w:val="both"/>
        <w:rPr>
          <w:rFonts w:asciiTheme="majorBidi" w:hAnsiTheme="majorBidi" w:cstheme="majorBidi"/>
          <w:b/>
          <w:bCs/>
          <w:sz w:val="18"/>
          <w:szCs w:val="18"/>
          <w:rtl/>
          <w:lang w:eastAsia="ar-SA"/>
        </w:rPr>
      </w:pP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lang w:eastAsia="ar-SA"/>
        </w:rPr>
        <w:t>محمد بن بهادر بن عبد الله</w:t>
      </w:r>
      <w:r w:rsidRPr="00110711">
        <w:rPr>
          <w:rFonts w:asciiTheme="majorBidi" w:hAnsiTheme="majorBidi" w:cstheme="majorBidi"/>
          <w:b/>
          <w:bCs/>
          <w:sz w:val="18"/>
          <w:szCs w:val="18"/>
          <w:rtl/>
        </w:rPr>
        <w:t xml:space="preserve"> الزركشي، دار الكتب العلمية، 2001م.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(التعريفات)</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علي محمد الجرجاني، دار الكتاب المصري، 1991م.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(التوقيف على مهمات التعاريف)</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محمد عبد الرؤوف المناوي، عالم الكتب، 1990م.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(صحيح البخاري مع شرحه فتح الباري)</w:t>
      </w:r>
    </w:p>
    <w:p w:rsidR="001D444F" w:rsidRPr="00110711" w:rsidRDefault="001D444F" w:rsidP="00110711">
      <w:pPr>
        <w:spacing w:after="120" w:line="240" w:lineRule="auto"/>
        <w:ind w:left="363" w:hanging="79"/>
        <w:jc w:val="both"/>
        <w:rPr>
          <w:rFonts w:asciiTheme="majorBidi" w:hAnsiTheme="majorBidi" w:cstheme="majorBidi"/>
          <w:b/>
          <w:bCs/>
          <w:sz w:val="18"/>
          <w:szCs w:val="18"/>
        </w:rPr>
      </w:pPr>
      <w:r w:rsidRPr="00110711">
        <w:rPr>
          <w:rFonts w:asciiTheme="majorBidi" w:hAnsiTheme="majorBidi" w:cstheme="majorBidi"/>
          <w:b/>
          <w:bCs/>
          <w:sz w:val="18"/>
          <w:szCs w:val="18"/>
          <w:rtl/>
        </w:rPr>
        <w:t>ابن حجر العسقلاني، دار الكتب العلمية، 1997م.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(العجاب في بيان الأسباب)</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 xml:space="preserve">ابن حجر العسقلاني، دار ابن الجوزي، 1997م. </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(فضائل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أحمد بن شعيب النسائي، مؤسسة الكتب الثقافية، 1985م.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(فيض القدير شرح الجامع الصغير)</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محمد بن عبد الرؤوف المناوي، دار المعرفة، 1980م.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(السبعة في القراءات)</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أحمد بن موسى بن مجاهد، دار المعارف، 1988م.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(لسان العرب)</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محمد بن مكرم بن منظور، طبعة دار إحياء التراث العربي، 1999م.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(مباحث في علوم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صبحي الصالح، دار العلم للملايين، 2002م.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(مباحث في علوم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مناع خليل القطان، مؤسسة الرسالة للطباعة والنشر والتوزيع، 2000م.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(المستدرك على الصحيحين)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محمد بن عبد الله الحاكم النيسابوري، دار الكتب العلمية، 1990م.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(مناهل العرفان)</w:t>
      </w:r>
    </w:p>
    <w:p w:rsidR="001D444F" w:rsidRPr="00110711" w:rsidRDefault="001D444F" w:rsidP="00110711">
      <w:pPr>
        <w:spacing w:after="120" w:line="240" w:lineRule="auto"/>
        <w:ind w:left="363" w:hanging="79"/>
        <w:jc w:val="both"/>
        <w:rPr>
          <w:rFonts w:asciiTheme="majorBidi" w:hAnsiTheme="majorBidi" w:cstheme="majorBidi"/>
          <w:b/>
          <w:bCs/>
          <w:sz w:val="18"/>
          <w:szCs w:val="18"/>
        </w:rPr>
      </w:pPr>
      <w:r w:rsidRPr="00110711">
        <w:rPr>
          <w:rFonts w:asciiTheme="majorBidi" w:hAnsiTheme="majorBidi" w:cstheme="majorBidi"/>
          <w:b/>
          <w:bCs/>
          <w:sz w:val="18"/>
          <w:szCs w:val="18"/>
          <w:rtl/>
        </w:rPr>
        <w:t>محمد بن عبد العظيم الزرقاني، دار الكتب العلمية، 2003م.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(التبيان في تفسير غريب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شهاب الدين أحمد بن محمد الهائم المصري، المكتبة المحمودية، 1960م.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(دلائل الإعجاز)</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عبد القاهر الجرجاني، دار الكتب العلمية، 1988م.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(فهم القرآن)</w:t>
      </w:r>
    </w:p>
    <w:p w:rsidR="001D444F" w:rsidRPr="00110711" w:rsidRDefault="001D444F" w:rsidP="00110711">
      <w:pPr>
        <w:spacing w:after="120" w:line="240" w:lineRule="auto"/>
        <w:ind w:left="363" w:hanging="79"/>
        <w:jc w:val="both"/>
        <w:rPr>
          <w:rFonts w:asciiTheme="majorBidi" w:hAnsiTheme="majorBidi" w:cstheme="majorBidi"/>
          <w:b/>
          <w:bCs/>
          <w:sz w:val="18"/>
          <w:szCs w:val="18"/>
          <w:rtl/>
        </w:rPr>
      </w:pPr>
      <w:r w:rsidRPr="00110711">
        <w:rPr>
          <w:rFonts w:asciiTheme="majorBidi" w:hAnsiTheme="majorBidi" w:cstheme="majorBidi"/>
          <w:b/>
          <w:bCs/>
          <w:sz w:val="18"/>
          <w:szCs w:val="18"/>
          <w:rtl/>
        </w:rPr>
        <w:t>الحارث بن أسد المحاسبي، دار الكندي للطباعة والنشر، 1982م.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Pr>
      </w:pPr>
      <w:r w:rsidRPr="00110711">
        <w:rPr>
          <w:rFonts w:asciiTheme="majorBidi" w:hAnsiTheme="majorBidi" w:cstheme="majorBidi"/>
          <w:b/>
          <w:bCs/>
          <w:sz w:val="18"/>
          <w:szCs w:val="18"/>
          <w:rtl/>
        </w:rPr>
        <w:lastRenderedPageBreak/>
        <w:t>(نفائس البيان شرح الفرائد الحسان في عد آي القرآن)</w:t>
      </w:r>
    </w:p>
    <w:p w:rsidR="001D444F" w:rsidRPr="00110711" w:rsidRDefault="001D444F" w:rsidP="00110711">
      <w:pPr>
        <w:spacing w:after="120" w:line="240" w:lineRule="auto"/>
        <w:ind w:left="363" w:hanging="79"/>
        <w:jc w:val="lowKashida"/>
        <w:rPr>
          <w:rFonts w:asciiTheme="majorBidi" w:hAnsiTheme="majorBidi" w:cstheme="majorBidi"/>
          <w:b/>
          <w:bCs/>
          <w:sz w:val="18"/>
          <w:szCs w:val="18"/>
        </w:rPr>
      </w:pPr>
      <w:r w:rsidRPr="00110711">
        <w:rPr>
          <w:rFonts w:asciiTheme="majorBidi" w:hAnsiTheme="majorBidi" w:cstheme="majorBidi"/>
          <w:b/>
          <w:bCs/>
          <w:sz w:val="18"/>
          <w:szCs w:val="18"/>
          <w:rtl/>
        </w:rPr>
        <w:t>الشيخ عبد الفتاح القاضي، مطبعة عيسى البابي الحلبي، ١٣٥٥هـ.</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(الأصلان في علوم القرآن)</w:t>
      </w:r>
    </w:p>
    <w:p w:rsidR="001D444F" w:rsidRPr="00110711" w:rsidRDefault="001D444F" w:rsidP="00110711">
      <w:pPr>
        <w:spacing w:after="120" w:line="240" w:lineRule="auto"/>
        <w:ind w:left="363" w:hanging="79"/>
        <w:jc w:val="lowKashida"/>
        <w:rPr>
          <w:rFonts w:asciiTheme="majorBidi" w:hAnsiTheme="majorBidi" w:cstheme="majorBidi"/>
          <w:b/>
          <w:bCs/>
          <w:sz w:val="18"/>
          <w:szCs w:val="18"/>
        </w:rPr>
      </w:pPr>
      <w:r w:rsidRPr="00110711">
        <w:rPr>
          <w:rFonts w:asciiTheme="majorBidi" w:hAnsiTheme="majorBidi" w:cstheme="majorBidi"/>
          <w:b/>
          <w:bCs/>
          <w:sz w:val="18"/>
          <w:szCs w:val="18"/>
          <w:rtl/>
        </w:rPr>
        <w:t>محمد عبد المنعم القيعي، طبعة المكتبات الأزهرية، ١٩٨٠م.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Pr>
      </w:pPr>
      <w:r w:rsidRPr="00110711">
        <w:rPr>
          <w:rFonts w:asciiTheme="majorBidi" w:hAnsiTheme="majorBidi" w:cstheme="majorBidi"/>
          <w:b/>
          <w:bCs/>
          <w:sz w:val="18"/>
          <w:szCs w:val="18"/>
          <w:rtl/>
        </w:rPr>
        <w:t>(مختصر في قواعد التفسير)</w:t>
      </w:r>
    </w:p>
    <w:p w:rsidR="001D444F" w:rsidRPr="00110711" w:rsidRDefault="001D444F" w:rsidP="00110711">
      <w:pPr>
        <w:spacing w:after="120" w:line="240" w:lineRule="auto"/>
        <w:ind w:left="363" w:hanging="79"/>
        <w:jc w:val="lowKashida"/>
        <w:rPr>
          <w:rFonts w:asciiTheme="majorBidi" w:hAnsiTheme="majorBidi" w:cstheme="majorBidi"/>
          <w:b/>
          <w:bCs/>
          <w:sz w:val="18"/>
          <w:szCs w:val="18"/>
        </w:rPr>
      </w:pPr>
      <w:r w:rsidRPr="00110711">
        <w:rPr>
          <w:rFonts w:asciiTheme="majorBidi" w:hAnsiTheme="majorBidi" w:cstheme="majorBidi"/>
          <w:b/>
          <w:bCs/>
          <w:sz w:val="18"/>
          <w:szCs w:val="18"/>
          <w:rtl/>
        </w:rPr>
        <w:t>خالد السبت، مطبعة ابن الجوزي، ١٤٢٣هـ.</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Pr>
      </w:pPr>
      <w:r w:rsidRPr="00110711">
        <w:rPr>
          <w:rFonts w:asciiTheme="majorBidi" w:hAnsiTheme="majorBidi" w:cstheme="majorBidi"/>
          <w:b/>
          <w:bCs/>
          <w:sz w:val="18"/>
          <w:szCs w:val="18"/>
          <w:rtl/>
        </w:rPr>
        <w:t>(الصحيح المسند من أسباب النزول)</w:t>
      </w:r>
    </w:p>
    <w:p w:rsidR="001D444F" w:rsidRPr="00110711" w:rsidRDefault="001D444F" w:rsidP="00110711">
      <w:pPr>
        <w:spacing w:after="120" w:line="240" w:lineRule="auto"/>
        <w:ind w:left="363" w:hanging="79"/>
        <w:jc w:val="lowKashida"/>
        <w:rPr>
          <w:rFonts w:asciiTheme="majorBidi" w:hAnsiTheme="majorBidi" w:cstheme="majorBidi"/>
          <w:b/>
          <w:bCs/>
          <w:sz w:val="18"/>
          <w:szCs w:val="18"/>
          <w:rtl/>
        </w:rPr>
      </w:pPr>
      <w:r w:rsidRPr="00110711">
        <w:rPr>
          <w:rFonts w:asciiTheme="majorBidi" w:hAnsiTheme="majorBidi" w:cstheme="majorBidi"/>
          <w:b/>
          <w:bCs/>
          <w:sz w:val="18"/>
          <w:szCs w:val="18"/>
          <w:rtl/>
        </w:rPr>
        <w:lastRenderedPageBreak/>
        <w:t>مقبل بن هادي الوادعي، الرياض،  مكتبة المعارف، 1400هـ.</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(موسوعة فضائل سور وآيات القرآن)</w:t>
      </w:r>
    </w:p>
    <w:p w:rsidR="001D444F" w:rsidRPr="00110711" w:rsidRDefault="001D444F" w:rsidP="00110711">
      <w:pPr>
        <w:spacing w:after="120" w:line="240" w:lineRule="auto"/>
        <w:ind w:left="363" w:hanging="79"/>
        <w:jc w:val="lowKashida"/>
        <w:rPr>
          <w:rFonts w:asciiTheme="majorBidi" w:hAnsiTheme="majorBidi" w:cstheme="majorBidi"/>
          <w:b/>
          <w:bCs/>
          <w:sz w:val="18"/>
          <w:szCs w:val="18"/>
          <w:rtl/>
        </w:rPr>
      </w:pPr>
      <w:r w:rsidRPr="00110711">
        <w:rPr>
          <w:rFonts w:asciiTheme="majorBidi" w:hAnsiTheme="majorBidi" w:cstheme="majorBidi"/>
          <w:b/>
          <w:bCs/>
          <w:sz w:val="18"/>
          <w:szCs w:val="18"/>
          <w:rtl/>
        </w:rPr>
        <w:t>محمد بن رزق الطرهوني، مكتبة العلم، 1994م.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(سنن القرّاء ومناهج المجوّدين)</w:t>
      </w:r>
    </w:p>
    <w:p w:rsidR="001D444F" w:rsidRPr="00110711" w:rsidRDefault="001D444F" w:rsidP="00110711">
      <w:pPr>
        <w:spacing w:after="120" w:line="240" w:lineRule="auto"/>
        <w:ind w:left="363" w:hanging="79"/>
        <w:jc w:val="lowKashida"/>
        <w:rPr>
          <w:rFonts w:asciiTheme="majorBidi" w:hAnsiTheme="majorBidi" w:cstheme="majorBidi"/>
          <w:b/>
          <w:bCs/>
          <w:sz w:val="18"/>
          <w:szCs w:val="18"/>
        </w:rPr>
      </w:pPr>
      <w:r w:rsidRPr="00110711">
        <w:rPr>
          <w:rFonts w:asciiTheme="majorBidi" w:hAnsiTheme="majorBidi" w:cstheme="majorBidi"/>
          <w:b/>
          <w:bCs/>
          <w:sz w:val="18"/>
          <w:szCs w:val="18"/>
          <w:rtl/>
        </w:rPr>
        <w:t>عبد العزيز القارئ، مكتبة الدار للنشر والتوزيع، 2000م.</w:t>
      </w:r>
    </w:p>
    <w:p w:rsidR="001D444F" w:rsidRPr="00110711" w:rsidRDefault="001D444F" w:rsidP="00110711">
      <w:pPr>
        <w:widowControl w:val="0"/>
        <w:numPr>
          <w:ilvl w:val="0"/>
          <w:numId w:val="1"/>
        </w:numPr>
        <w:spacing w:after="120" w:line="240" w:lineRule="auto"/>
        <w:ind w:left="363"/>
        <w:jc w:val="both"/>
        <w:rPr>
          <w:rFonts w:asciiTheme="majorBidi" w:hAnsiTheme="majorBidi" w:cstheme="majorBidi"/>
          <w:b/>
          <w:bCs/>
          <w:sz w:val="18"/>
          <w:szCs w:val="18"/>
          <w:rtl/>
        </w:rPr>
      </w:pPr>
      <w:r w:rsidRPr="00110711">
        <w:rPr>
          <w:rFonts w:asciiTheme="majorBidi" w:hAnsiTheme="majorBidi" w:cstheme="majorBidi"/>
          <w:b/>
          <w:bCs/>
          <w:sz w:val="18"/>
          <w:szCs w:val="18"/>
          <w:rtl/>
        </w:rPr>
        <w:t>(النشر في القراءات العشر)</w:t>
      </w:r>
    </w:p>
    <w:p w:rsidR="00110711" w:rsidRDefault="001D444F" w:rsidP="00110711">
      <w:pPr>
        <w:spacing w:line="240" w:lineRule="auto"/>
        <w:jc w:val="both"/>
        <w:rPr>
          <w:rFonts w:asciiTheme="majorBidi" w:hAnsiTheme="majorBidi" w:cstheme="majorBidi"/>
          <w:b/>
          <w:bCs/>
          <w:sz w:val="18"/>
          <w:szCs w:val="18"/>
          <w:rtl/>
        </w:rPr>
        <w:sectPr w:rsidR="00110711" w:rsidSect="00110711">
          <w:type w:val="continuous"/>
          <w:pgSz w:w="11906" w:h="16838"/>
          <w:pgMar w:top="1440" w:right="1440" w:bottom="1440" w:left="1440" w:header="720" w:footer="720" w:gutter="0"/>
          <w:cols w:num="2" w:space="720"/>
          <w:bidi/>
          <w:rtlGutter/>
          <w:docGrid w:linePitch="360"/>
        </w:sectPr>
      </w:pPr>
      <w:r w:rsidRPr="00110711">
        <w:rPr>
          <w:rFonts w:asciiTheme="majorBidi" w:hAnsiTheme="majorBidi" w:cstheme="majorBidi"/>
          <w:b/>
          <w:bCs/>
          <w:sz w:val="18"/>
          <w:szCs w:val="18"/>
          <w:rtl/>
        </w:rPr>
        <w:t>محمد بن الجزري، المكتبة التجارية الكبرى، 1970م.</w:t>
      </w:r>
    </w:p>
    <w:p w:rsidR="001D444F" w:rsidRPr="00C36534" w:rsidRDefault="001D444F" w:rsidP="00110711">
      <w:pPr>
        <w:spacing w:line="240" w:lineRule="auto"/>
        <w:jc w:val="both"/>
        <w:rPr>
          <w:rFonts w:asciiTheme="majorBidi" w:hAnsiTheme="majorBidi" w:cstheme="majorBidi"/>
          <w:b/>
          <w:bCs/>
          <w:sz w:val="18"/>
          <w:szCs w:val="18"/>
          <w:rtl/>
        </w:rPr>
      </w:pPr>
    </w:p>
    <w:p w:rsidR="003236BF" w:rsidRPr="003236BF" w:rsidRDefault="003236BF" w:rsidP="001D444F">
      <w:pPr>
        <w:rPr>
          <w:sz w:val="18"/>
          <w:szCs w:val="18"/>
        </w:rPr>
      </w:pPr>
    </w:p>
    <w:sectPr w:rsidR="003236BF" w:rsidRPr="003236BF" w:rsidSect="00110711">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175">
    <w:altName w:val="Times New Roman"/>
    <w:charset w:val="00"/>
    <w:family w:val="auto"/>
    <w:pitch w:val="variable"/>
    <w:sig w:usb0="00000000" w:usb1="90000000" w:usb2="00000008" w:usb3="00000000" w:csb0="80000041" w:csb1="00000000"/>
  </w:font>
  <w:font w:name="QCF_BSML">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23E"/>
    <w:multiLevelType w:val="hybridMultilevel"/>
    <w:tmpl w:val="8C08836C"/>
    <w:lvl w:ilvl="0" w:tplc="46886728">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26FA6ED5"/>
    <w:multiLevelType w:val="hybridMultilevel"/>
    <w:tmpl w:val="56300B4A"/>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3236BF"/>
    <w:rsid w:val="00110711"/>
    <w:rsid w:val="001352FB"/>
    <w:rsid w:val="001D444F"/>
    <w:rsid w:val="003236BF"/>
    <w:rsid w:val="005C15CC"/>
    <w:rsid w:val="005E53E7"/>
    <w:rsid w:val="007339BF"/>
    <w:rsid w:val="00933618"/>
    <w:rsid w:val="00AC55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444F"/>
    <w:pPr>
      <w:bidi w:val="0"/>
      <w:spacing w:after="0" w:line="240" w:lineRule="auto"/>
      <w:ind w:left="75" w:right="75"/>
      <w:jc w:val="both"/>
    </w:pPr>
    <w:rPr>
      <w:rFonts w:ascii="Tahoma" w:eastAsia="Times New Roman" w:hAnsi="Tahoma" w:cs="Tahoma"/>
      <w:sz w:val="36"/>
      <w:szCs w:val="36"/>
    </w:rPr>
  </w:style>
  <w:style w:type="paragraph" w:customStyle="1" w:styleId="Affiliation">
    <w:name w:val="Affiliation"/>
    <w:rsid w:val="00110711"/>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10711"/>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110711"/>
    <w:pPr>
      <w:ind w:left="720"/>
      <w:contextualSpacing/>
    </w:pPr>
  </w:style>
  <w:style w:type="character" w:styleId="Hyperlink">
    <w:name w:val="Hyperlink"/>
    <w:basedOn w:val="DefaultParagraphFont"/>
    <w:rsid w:val="009336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ad.saa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2013-06-04T20:52:00Z</dcterms:created>
  <dcterms:modified xsi:type="dcterms:W3CDTF">2013-06-24T10:15:00Z</dcterms:modified>
</cp:coreProperties>
</file>