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E" w:rsidRDefault="002D7F62" w:rsidP="002D7F62">
      <w:pPr>
        <w:jc w:val="center"/>
        <w:rPr>
          <w:sz w:val="48"/>
          <w:szCs w:val="48"/>
          <w:rtl/>
        </w:rPr>
      </w:pPr>
      <w:r w:rsidRPr="002D7F62">
        <w:rPr>
          <w:rFonts w:cs="AL-Mateen" w:hint="cs"/>
          <w:sz w:val="48"/>
          <w:szCs w:val="48"/>
          <w:rtl/>
        </w:rPr>
        <w:t>م</w:t>
      </w:r>
      <w:r w:rsidRPr="002D7F62">
        <w:rPr>
          <w:rFonts w:cs="AL-Mateen" w:hint="eastAsia"/>
          <w:sz w:val="48"/>
          <w:szCs w:val="48"/>
          <w:rtl/>
        </w:rPr>
        <w:t>ناسبة</w:t>
      </w:r>
      <w:r w:rsidRPr="002D7F62">
        <w:rPr>
          <w:rFonts w:cs="AL-Mateen"/>
          <w:sz w:val="48"/>
          <w:szCs w:val="48"/>
          <w:rtl/>
        </w:rPr>
        <w:t xml:space="preserve"> </w:t>
      </w:r>
      <w:r w:rsidRPr="002D7F62">
        <w:rPr>
          <w:rFonts w:cs="AL-Mateen" w:hint="eastAsia"/>
          <w:sz w:val="48"/>
          <w:szCs w:val="48"/>
          <w:rtl/>
        </w:rPr>
        <w:t>الآيات</w:t>
      </w:r>
      <w:r w:rsidRPr="002D7F62">
        <w:rPr>
          <w:rFonts w:cs="AL-Mateen"/>
          <w:sz w:val="48"/>
          <w:szCs w:val="48"/>
          <w:rtl/>
        </w:rPr>
        <w:t xml:space="preserve"> </w:t>
      </w:r>
      <w:r w:rsidRPr="002D7F62">
        <w:rPr>
          <w:rFonts w:cs="AL-Mateen" w:hint="eastAsia"/>
          <w:sz w:val="48"/>
          <w:szCs w:val="48"/>
          <w:rtl/>
        </w:rPr>
        <w:t>والسو</w:t>
      </w:r>
      <w:r w:rsidRPr="002D7F62">
        <w:rPr>
          <w:rFonts w:cs="AL-Mateen" w:hint="cs"/>
          <w:sz w:val="48"/>
          <w:szCs w:val="48"/>
          <w:rtl/>
        </w:rPr>
        <w:t>َ</w:t>
      </w:r>
      <w:r w:rsidRPr="002D7F62">
        <w:rPr>
          <w:rFonts w:cs="AL-Mateen" w:hint="eastAsia"/>
          <w:sz w:val="48"/>
          <w:szCs w:val="48"/>
          <w:rtl/>
        </w:rPr>
        <w:t>ر</w:t>
      </w:r>
    </w:p>
    <w:p w:rsidR="002D7F62" w:rsidRPr="007E1CFD" w:rsidRDefault="002D7F62" w:rsidP="002D7F62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2D7F62" w:rsidRPr="00B17137" w:rsidRDefault="002D7F62" w:rsidP="00B17137">
      <w:pPr>
        <w:pStyle w:val="Author"/>
        <w:bidi/>
        <w:rPr>
          <w:i/>
          <w:iCs/>
          <w:sz w:val="20"/>
          <w:szCs w:val="20"/>
          <w:lang w:eastAsia="zh-CN"/>
        </w:rPr>
      </w:pPr>
      <w:r w:rsidRPr="00B17137">
        <w:rPr>
          <w:rFonts w:hint="cs"/>
          <w:i/>
          <w:iCs/>
          <w:sz w:val="20"/>
          <w:szCs w:val="20"/>
          <w:rtl/>
          <w:lang w:eastAsia="zh-CN"/>
        </w:rPr>
        <w:t xml:space="preserve">إعداد / </w:t>
      </w:r>
      <w:r w:rsidR="00B17137" w:rsidRPr="00B17137">
        <w:rPr>
          <w:i/>
          <w:iCs/>
          <w:sz w:val="20"/>
          <w:szCs w:val="20"/>
          <w:rtl/>
          <w:lang w:eastAsia="zh-CN"/>
        </w:rPr>
        <w:t>شيماء عبد المجيد زهران</w:t>
      </w:r>
      <w:r w:rsidR="00B17137" w:rsidRPr="00B17137">
        <w:rPr>
          <w:rFonts w:hint="cs"/>
          <w:i/>
          <w:iCs/>
          <w:sz w:val="20"/>
          <w:szCs w:val="20"/>
          <w:rtl/>
          <w:lang w:eastAsia="zh-CN"/>
        </w:rPr>
        <w:t xml:space="preserve">  </w:t>
      </w:r>
    </w:p>
    <w:p w:rsidR="002D7F62" w:rsidRPr="00B17137" w:rsidRDefault="002D7F62" w:rsidP="002D7F62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2D7F62" w:rsidRPr="00B17137" w:rsidRDefault="002D7F62" w:rsidP="002D7F62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B17137">
        <w:rPr>
          <w:i/>
          <w:iCs/>
        </w:rPr>
        <w:t xml:space="preserve"> </w:t>
      </w:r>
    </w:p>
    <w:p w:rsidR="002D7F62" w:rsidRPr="00B17137" w:rsidRDefault="002D7F62" w:rsidP="002D7F62">
      <w:pPr>
        <w:pStyle w:val="Affiliation"/>
        <w:bidi/>
        <w:rPr>
          <w:i/>
          <w:iCs/>
          <w:rtl/>
        </w:rPr>
      </w:pPr>
      <w:r w:rsidRPr="00B17137">
        <w:rPr>
          <w:rFonts w:hint="cs"/>
          <w:i/>
          <w:iCs/>
          <w:rtl/>
        </w:rPr>
        <w:t>شاه علم - ماليزيا</w:t>
      </w:r>
    </w:p>
    <w:p w:rsidR="002D7F62" w:rsidRPr="00B17137" w:rsidRDefault="00B17137" w:rsidP="00B17137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rtl/>
          <w:lang w:eastAsia="zh-CN"/>
        </w:rPr>
        <w:sectPr w:rsidR="002D7F62" w:rsidRPr="00B17137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history="1">
        <w:r w:rsidRPr="00B17137">
          <w:rPr>
            <w:rFonts w:ascii="Times New Roman" w:eastAsia="SimSun" w:hAnsi="Times New Roman" w:cs="Times New Roman"/>
            <w:i/>
            <w:iCs/>
            <w:sz w:val="20"/>
            <w:szCs w:val="20"/>
            <w:lang w:eastAsia="zh-CN"/>
          </w:rPr>
          <w:t>shaimaa.abdelmajeed@mediu.ws</w:t>
        </w:r>
      </w:hyperlink>
    </w:p>
    <w:p w:rsidR="002D7F62" w:rsidRPr="002D7F62" w:rsidRDefault="002D7F62" w:rsidP="002D7F62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مناسبة الآيات والسور</w:t>
      </w:r>
    </w:p>
    <w:p w:rsidR="002D7F62" w:rsidRPr="002D7F62" w:rsidRDefault="002D7F62" w:rsidP="002D7F62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الكلمات المفتاحية –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 xml:space="preserve"> كتاب</w:t>
      </w:r>
      <w:r w:rsidRPr="002D7F62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المفسرين</w:t>
      </w:r>
      <w:r w:rsidRPr="002D7F62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الترتيبات</w:t>
      </w:r>
    </w:p>
    <w:p w:rsidR="002D7F62" w:rsidRPr="002D7F62" w:rsidRDefault="002D7F62" w:rsidP="002D7F62">
      <w:pPr>
        <w:pStyle w:val="ListParagraph"/>
        <w:numPr>
          <w:ilvl w:val="0"/>
          <w:numId w:val="2"/>
        </w:numPr>
        <w:spacing w:before="60"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2D7F62" w:rsidRPr="002D7F62" w:rsidRDefault="002D7F62" w:rsidP="002D7F62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مناسبة الآيات والسور</w:t>
      </w:r>
    </w:p>
    <w:p w:rsidR="002D7F62" w:rsidRPr="002D7F62" w:rsidRDefault="002D7F62" w:rsidP="002D7F62">
      <w:pPr>
        <w:pStyle w:val="ListParagraph"/>
        <w:numPr>
          <w:ilvl w:val="0"/>
          <w:numId w:val="3"/>
        </w:numPr>
        <w:spacing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أفرده بالتأليف العلامة أبو جعفر بن الزبير، شيخ أبي حيان، في كتاب سماه: (البرهان في مناسبة ترتيب سوَر القرآن)، ثم الشيخ برهان الدين البقاعي في كتاب سماه: (نظم الدرر في تناسب الآي والسوّر)؛ وهو كتاب عظيم ضخم، مطبوع في اثنين وعشرين مجلدًا. وهو لا يقتصر فقط على المناسبات وإنما يفسر الآيات. 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وكذا ألف فيه السيوطي 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-رحمه الله-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. 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وهو علم شريف قل اعتناء المفسرين به، لدقته. وممن أكثر فيه: الإمام الرازي، وقال في تفسيره: "أكثر لطائف القرآن مودعة في الترتيبات والروابط". 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>وقال بعضهم: "لا يطلب للآي الكريمة مناسبة، لأنها على حسب الوقائع المفرّقة".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قال: "وفصل الخطاب: أنها على حسب الوقائع تنزيلًا، وعلى حسب الحكمة ترتيبًا وتأصيلًا؛ فالمصحف على وفق ما في اللوح المحفوظ، مرتّبة سوَره كلها وآياته بالتوقيف، كما أنزل جملة إلى بيت العزة".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>والمناسبة في اللغة: المشاكلة والمقاربة، ومرجعها في الآيات ونحوها إلى معنى رابط بينها، عام أو خاص، عقلي أو حسي أو خيالي، أو غير ذلك من أنواع العلاقات...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ومن تلك الروابط الكثيرة: التضاد. كقوله في سورة (البقرة): {ﭑ ﭒ ﭓ ﭔ}  [يس: 10] الآية؛ فإن أول السورة كان حديثًا عن القرآن، وأن من شأنه الهداية للقوم الموصوفين بالإيمان، فلما أكمل وصف المؤمنين عقّب بحديث الكافرين؛ فبينهما جامع وهمي بالتضاد من هذا الوجه. وحكمته: التشويق، وكما قيل: وبضدّها تتبيّن الأشياء.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وحكى الخطابي: أن الصحابة لما اجتمعوا على القرآن، وضعوا سورة (القدر) عقب (العلَق). استدلوا بذلك على: أن المراد بهاء الكناية في قوله: {ﭑ ﭒ ﭓ ﭔ} [القدْر: 1]: الإشارة إلى قوله: {ﮭ} [العلق: 1]. قال القاضي أبو بكر ابن العربي: "وهذا بديع جدًّا". </w:t>
      </w:r>
    </w:p>
    <w:p w:rsidR="002D7F62" w:rsidRPr="002D7F62" w:rsidRDefault="002D7F62" w:rsidP="002D7F62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وقال الزركشي: "ومن ذلك: افتتاح السوَر بالحروف المقطّعة، واختصاص كل واحدة بما بُدئت به حتى لم يكن لِتَرد {ﭑ} [البقرة: 1] في موضع {ﭑ} [يونس: 1]، ولا {ﭤ} [الزُّخرُف: 2] في موضع {ﭑ} [النمل: 1].</w:t>
      </w:r>
    </w:p>
    <w:p w:rsidR="002D7F62" w:rsidRPr="002D7F62" w:rsidRDefault="002D7F62" w:rsidP="002D7F62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وذلك أن كلّ سورة بدئت بحرف منها، فإن أكثر كلماتها وحروفها مماثل له؛ فحُق لكل سورة منها ألا يناسبها غير الواردة فيها. فلو وضع {ﭑ} [ق: 1]  موضع {ﮉ} [القلم: 1] لعدم التناسب الواجب مراعاته في كلام الله. وسورة (ق) بدئت به لما تكرر فيها من الكلمات بلفظ "القاف" من ذكر القرآن، والخلق وتكرير القول، ومراجعته مرارًا، والقرب من ابن آدم، 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وتلقي الملَكين، وقول العتيد والرقيب، والسائق، والإلقاء في جهنم، والتقدم بالوعد، وذكر المتقين، والقلب، والقرون، والتنقيب في البلاد، وتشقق الأرض، وحقوق الوعيد، وغير ذلك...".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(التعريفات)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محمد بن عبد العظيم الزرقاني، دار الكتب العلمية، 2003م.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(التبيان في تفسير غريب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محمد عبد المنعم القيعي، طبعة المكتبات الأزهرية، ١٩٨٠م.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2D7F62" w:rsidRPr="002D7F62" w:rsidRDefault="002D7F62" w:rsidP="002D7F62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2D7F62" w:rsidRPr="002D7F62" w:rsidRDefault="002D7F62" w:rsidP="002D7F62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2D7F62" w:rsidRPr="002D7F62" w:rsidRDefault="002D7F62" w:rsidP="002D7F62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D7F62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2D7F62" w:rsidRDefault="002D7F62" w:rsidP="002D7F62">
      <w:pPr>
        <w:rPr>
          <w:sz w:val="48"/>
          <w:szCs w:val="48"/>
          <w:rtl/>
        </w:rPr>
        <w:sectPr w:rsidR="002D7F62" w:rsidSect="002D7F62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2D7F62" w:rsidRPr="002D7F62" w:rsidRDefault="002D7F62" w:rsidP="002D7F62">
      <w:pPr>
        <w:rPr>
          <w:sz w:val="48"/>
          <w:szCs w:val="48"/>
        </w:rPr>
      </w:pPr>
    </w:p>
    <w:sectPr w:rsidR="002D7F62" w:rsidRPr="002D7F62" w:rsidSect="002D7F62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5708"/>
    <w:multiLevelType w:val="hybridMultilevel"/>
    <w:tmpl w:val="0FF0A9E2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">
    <w:nsid w:val="5D0545B3"/>
    <w:multiLevelType w:val="hybridMultilevel"/>
    <w:tmpl w:val="458A4E58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2D7F62"/>
    <w:rsid w:val="00272C2E"/>
    <w:rsid w:val="002D7F62"/>
    <w:rsid w:val="005C15CC"/>
    <w:rsid w:val="00B17137"/>
    <w:rsid w:val="00D3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2D7F62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2D7F62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2D7F62"/>
    <w:pPr>
      <w:ind w:left="720"/>
      <w:contextualSpacing/>
    </w:pPr>
  </w:style>
  <w:style w:type="character" w:styleId="Hyperlink">
    <w:name w:val="Hyperlink"/>
    <w:basedOn w:val="DefaultParagraphFont"/>
    <w:rsid w:val="00B17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imaa.abdelmajeed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2</cp:revision>
  <dcterms:created xsi:type="dcterms:W3CDTF">2013-06-05T22:54:00Z</dcterms:created>
  <dcterms:modified xsi:type="dcterms:W3CDTF">2013-06-24T10:47:00Z</dcterms:modified>
</cp:coreProperties>
</file>