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2E" w:rsidRDefault="00EC1553" w:rsidP="00EC1553">
      <w:pPr>
        <w:jc w:val="center"/>
        <w:rPr>
          <w:sz w:val="52"/>
          <w:szCs w:val="52"/>
          <w:rtl/>
        </w:rPr>
      </w:pPr>
      <w:r w:rsidRPr="00EC1553">
        <w:rPr>
          <w:rFonts w:ascii="Calibri" w:eastAsia="Calibri" w:hAnsi="Calibri" w:cs="AGA Rasheeq Bold" w:hint="eastAsia"/>
          <w:sz w:val="52"/>
          <w:szCs w:val="52"/>
          <w:rtl/>
        </w:rPr>
        <w:t>فواتح</w:t>
      </w:r>
      <w:r w:rsidRPr="00EC1553">
        <w:rPr>
          <w:rFonts w:ascii="Calibri" w:eastAsia="Calibri" w:hAnsi="Calibri" w:cs="AGA Rasheeq Bold"/>
          <w:sz w:val="52"/>
          <w:szCs w:val="52"/>
          <w:rtl/>
        </w:rPr>
        <w:t xml:space="preserve"> </w:t>
      </w:r>
      <w:r w:rsidRPr="00EC1553">
        <w:rPr>
          <w:rFonts w:ascii="Calibri" w:eastAsia="Calibri" w:hAnsi="Calibri" w:cs="AGA Rasheeq Bold" w:hint="eastAsia"/>
          <w:sz w:val="52"/>
          <w:szCs w:val="52"/>
          <w:rtl/>
        </w:rPr>
        <w:t>السور</w:t>
      </w:r>
    </w:p>
    <w:p w:rsidR="00EC1553" w:rsidRPr="007E1CFD" w:rsidRDefault="00EC1553" w:rsidP="00EC1553">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EC1553" w:rsidRPr="003902CF" w:rsidRDefault="00EC1553" w:rsidP="003902CF">
      <w:pPr>
        <w:pStyle w:val="Author"/>
        <w:bidi/>
        <w:rPr>
          <w:i/>
          <w:iCs/>
          <w:sz w:val="20"/>
          <w:szCs w:val="20"/>
          <w:lang w:eastAsia="zh-CN"/>
        </w:rPr>
      </w:pPr>
      <w:r w:rsidRPr="003902CF">
        <w:rPr>
          <w:rFonts w:hint="cs"/>
          <w:i/>
          <w:iCs/>
          <w:sz w:val="20"/>
          <w:szCs w:val="20"/>
          <w:rtl/>
          <w:lang w:eastAsia="zh-CN"/>
        </w:rPr>
        <w:t xml:space="preserve">إعداد / </w:t>
      </w:r>
      <w:r w:rsidR="003902CF" w:rsidRPr="003902CF">
        <w:rPr>
          <w:i/>
          <w:iCs/>
          <w:sz w:val="20"/>
          <w:szCs w:val="20"/>
          <w:rtl/>
          <w:lang w:eastAsia="zh-CN"/>
        </w:rPr>
        <w:t>شيماء عبد المجيد زهران</w:t>
      </w:r>
      <w:r w:rsidR="003902CF" w:rsidRPr="003902CF">
        <w:rPr>
          <w:rFonts w:hint="cs"/>
          <w:i/>
          <w:iCs/>
          <w:sz w:val="20"/>
          <w:szCs w:val="20"/>
          <w:rtl/>
          <w:lang w:eastAsia="zh-CN"/>
        </w:rPr>
        <w:t xml:space="preserve">  </w:t>
      </w:r>
    </w:p>
    <w:p w:rsidR="00EC1553" w:rsidRPr="003902CF" w:rsidRDefault="00EC1553" w:rsidP="00EC1553">
      <w:pPr>
        <w:pStyle w:val="Affiliation"/>
        <w:bidi/>
        <w:rPr>
          <w:i/>
          <w:iCs/>
        </w:rPr>
      </w:pPr>
      <w:r>
        <w:rPr>
          <w:rFonts w:hint="cs"/>
          <w:i/>
          <w:iCs/>
          <w:rtl/>
        </w:rPr>
        <w:t>قسم الدعوة وأصول الدين</w:t>
      </w:r>
    </w:p>
    <w:p w:rsidR="00EC1553" w:rsidRPr="003902CF" w:rsidRDefault="00EC1553" w:rsidP="00EC1553">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3902CF">
        <w:rPr>
          <w:i/>
          <w:iCs/>
        </w:rPr>
        <w:t xml:space="preserve"> </w:t>
      </w:r>
    </w:p>
    <w:p w:rsidR="00EC1553" w:rsidRPr="003902CF" w:rsidRDefault="00EC1553" w:rsidP="00EC1553">
      <w:pPr>
        <w:pStyle w:val="Affiliation"/>
        <w:bidi/>
        <w:rPr>
          <w:i/>
          <w:iCs/>
          <w:rtl/>
        </w:rPr>
      </w:pPr>
      <w:r w:rsidRPr="003902CF">
        <w:rPr>
          <w:rFonts w:hint="cs"/>
          <w:i/>
          <w:iCs/>
          <w:rtl/>
        </w:rPr>
        <w:t>شاه علم - ماليزيا</w:t>
      </w:r>
    </w:p>
    <w:p w:rsidR="00EC1553" w:rsidRPr="003902CF" w:rsidRDefault="003902CF" w:rsidP="003902CF">
      <w:pPr>
        <w:spacing w:line="240" w:lineRule="auto"/>
        <w:jc w:val="center"/>
        <w:rPr>
          <w:rFonts w:ascii="Times New Roman" w:eastAsia="SimSun" w:hAnsi="Times New Roman" w:cs="Times New Roman"/>
          <w:i/>
          <w:iCs/>
          <w:sz w:val="20"/>
          <w:szCs w:val="20"/>
          <w:rtl/>
          <w:lang w:eastAsia="zh-CN"/>
        </w:rPr>
        <w:sectPr w:rsidR="00EC1553" w:rsidRPr="003902CF" w:rsidSect="005C15CC">
          <w:pgSz w:w="11906" w:h="16838"/>
          <w:pgMar w:top="1440" w:right="1440" w:bottom="1440" w:left="1440" w:header="720" w:footer="720" w:gutter="0"/>
          <w:cols w:space="720"/>
          <w:bidi/>
          <w:rtlGutter/>
          <w:docGrid w:linePitch="360"/>
        </w:sectPr>
      </w:pPr>
      <w:hyperlink r:id="rId5" w:history="1">
        <w:r w:rsidRPr="003902CF">
          <w:rPr>
            <w:rFonts w:ascii="Times New Roman" w:eastAsia="SimSun" w:hAnsi="Times New Roman" w:cs="Times New Roman"/>
            <w:i/>
            <w:iCs/>
            <w:sz w:val="20"/>
            <w:szCs w:val="20"/>
            <w:lang w:eastAsia="zh-CN"/>
          </w:rPr>
          <w:t>shaimaa.abdelmajeed@mediu.ws</w:t>
        </w:r>
      </w:hyperlink>
    </w:p>
    <w:p w:rsidR="00EC1553" w:rsidRPr="00EC1553" w:rsidRDefault="00EC1553" w:rsidP="00EC1553">
      <w:pPr>
        <w:spacing w:line="240" w:lineRule="auto"/>
        <w:rPr>
          <w:rFonts w:asciiTheme="majorBidi" w:hAnsiTheme="majorBidi" w:cstheme="majorBidi"/>
          <w:b/>
          <w:bCs/>
          <w:sz w:val="18"/>
          <w:szCs w:val="18"/>
          <w:rtl/>
        </w:rPr>
      </w:pPr>
      <w:r w:rsidRPr="00EC1553">
        <w:rPr>
          <w:rFonts w:asciiTheme="majorBidi" w:hAnsiTheme="majorBidi" w:cstheme="majorBidi"/>
          <w:b/>
          <w:bCs/>
          <w:sz w:val="18"/>
          <w:szCs w:val="18"/>
          <w:rtl/>
        </w:rPr>
        <w:lastRenderedPageBreak/>
        <w:t xml:space="preserve">الخلاصة – هذا البحث يبحث فى </w:t>
      </w:r>
      <w:r>
        <w:rPr>
          <w:rFonts w:asciiTheme="majorBidi" w:eastAsia="Calibri" w:hAnsiTheme="majorBidi" w:cstheme="majorBidi" w:hint="cs"/>
          <w:b/>
          <w:bCs/>
          <w:sz w:val="18"/>
          <w:szCs w:val="18"/>
          <w:rtl/>
        </w:rPr>
        <w:t>فواتح السور</w:t>
      </w:r>
    </w:p>
    <w:p w:rsidR="00EC1553" w:rsidRPr="00EC1553" w:rsidRDefault="00EC1553" w:rsidP="00EC1553">
      <w:pPr>
        <w:spacing w:before="60" w:line="240" w:lineRule="auto"/>
        <w:rPr>
          <w:rFonts w:asciiTheme="majorBidi" w:eastAsia="Calibri" w:hAnsiTheme="majorBidi" w:cstheme="majorBidi"/>
          <w:b/>
          <w:bCs/>
          <w:sz w:val="18"/>
          <w:szCs w:val="18"/>
          <w:rtl/>
        </w:rPr>
      </w:pPr>
      <w:r w:rsidRPr="00EC1553">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انواع</w:t>
      </w:r>
      <w:r w:rsidRPr="00EC1553">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الثناء</w:t>
      </w:r>
      <w:r w:rsidRPr="00EC1553">
        <w:rPr>
          <w:rFonts w:asciiTheme="majorBidi" w:eastAsia="Calibri" w:hAnsiTheme="majorBidi" w:cstheme="majorBidi"/>
          <w:b/>
          <w:bCs/>
          <w:sz w:val="18"/>
          <w:szCs w:val="18"/>
          <w:rtl/>
        </w:rPr>
        <w:t>،</w:t>
      </w:r>
      <w:r>
        <w:rPr>
          <w:rFonts w:asciiTheme="majorBidi" w:eastAsia="Calibri" w:hAnsiTheme="majorBidi" w:cstheme="majorBidi" w:hint="cs"/>
          <w:b/>
          <w:bCs/>
          <w:sz w:val="18"/>
          <w:szCs w:val="18"/>
          <w:rtl/>
        </w:rPr>
        <w:t>المدح</w:t>
      </w:r>
    </w:p>
    <w:p w:rsidR="00EC1553" w:rsidRPr="00EC1553" w:rsidRDefault="00EC1553" w:rsidP="00EC1553">
      <w:pPr>
        <w:pStyle w:val="ListParagraph"/>
        <w:numPr>
          <w:ilvl w:val="0"/>
          <w:numId w:val="2"/>
        </w:numPr>
        <w:spacing w:before="60" w:line="240" w:lineRule="auto"/>
        <w:ind w:left="10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EC1553">
        <w:rPr>
          <w:rFonts w:asciiTheme="majorBidi" w:hAnsiTheme="majorBidi" w:cstheme="majorBidi"/>
          <w:b/>
          <w:bCs/>
          <w:sz w:val="18"/>
          <w:szCs w:val="18"/>
          <w:rtl/>
        </w:rPr>
        <w:t>المقدمة</w:t>
      </w:r>
    </w:p>
    <w:p w:rsidR="00EC1553" w:rsidRPr="00EC1553" w:rsidRDefault="00EC1553" w:rsidP="00EC1553">
      <w:pPr>
        <w:spacing w:line="240" w:lineRule="auto"/>
        <w:rPr>
          <w:rFonts w:asciiTheme="majorBidi" w:hAnsiTheme="majorBidi" w:cstheme="majorBidi"/>
          <w:b/>
          <w:bCs/>
          <w:sz w:val="18"/>
          <w:szCs w:val="18"/>
          <w:rtl/>
        </w:rPr>
      </w:pPr>
      <w:r w:rsidRPr="00EC1553">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Pr>
          <w:rFonts w:asciiTheme="majorBidi" w:eastAsia="Calibri" w:hAnsiTheme="majorBidi" w:cstheme="majorBidi" w:hint="cs"/>
          <w:b/>
          <w:bCs/>
          <w:sz w:val="18"/>
          <w:szCs w:val="18"/>
          <w:rtl/>
        </w:rPr>
        <w:t>فواتح السور</w:t>
      </w:r>
    </w:p>
    <w:p w:rsidR="00EC1553" w:rsidRPr="00EC1553" w:rsidRDefault="00EC1553" w:rsidP="00EC1553">
      <w:pPr>
        <w:pStyle w:val="ListParagraph"/>
        <w:numPr>
          <w:ilvl w:val="0"/>
          <w:numId w:val="3"/>
        </w:numPr>
        <w:spacing w:line="240" w:lineRule="auto"/>
        <w:ind w:left="10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EC1553">
        <w:rPr>
          <w:rFonts w:asciiTheme="majorBidi" w:hAnsiTheme="majorBidi" w:cstheme="majorBidi"/>
          <w:b/>
          <w:bCs/>
          <w:sz w:val="18"/>
          <w:szCs w:val="18"/>
          <w:rtl/>
        </w:rPr>
        <w:t>عنوان المقال</w:t>
      </w:r>
    </w:p>
    <w:p w:rsidR="00EC1553" w:rsidRPr="00EC1553" w:rsidRDefault="00EC1553" w:rsidP="00EC1553">
      <w:pPr>
        <w:spacing w:after="120" w:line="240" w:lineRule="auto"/>
        <w:jc w:val="lowKashida"/>
        <w:rPr>
          <w:rFonts w:asciiTheme="majorBidi" w:hAnsiTheme="majorBidi" w:cstheme="majorBidi"/>
          <w:b/>
          <w:bCs/>
          <w:spacing w:val="-8"/>
          <w:sz w:val="18"/>
          <w:szCs w:val="18"/>
          <w:rtl/>
        </w:rPr>
      </w:pPr>
      <w:r w:rsidRPr="00EC1553">
        <w:rPr>
          <w:rFonts w:asciiTheme="majorBidi" w:hAnsiTheme="majorBidi" w:cstheme="majorBidi"/>
          <w:b/>
          <w:bCs/>
          <w:spacing w:val="-8"/>
          <w:sz w:val="18"/>
          <w:szCs w:val="18"/>
          <w:rtl/>
        </w:rPr>
        <w:t xml:space="preserve">أفردها بالتأليف ابن أبي الأصبع في كتاب سماه: (الخواطر السوانح في أسرار الفواتح). </w:t>
      </w:r>
    </w:p>
    <w:p w:rsidR="00EC1553" w:rsidRPr="00EC1553" w:rsidRDefault="00EC1553" w:rsidP="00EC1553">
      <w:pPr>
        <w:spacing w:after="120" w:line="240" w:lineRule="auto"/>
        <w:jc w:val="lowKashida"/>
        <w:rPr>
          <w:rFonts w:asciiTheme="majorBidi" w:hAnsiTheme="majorBidi" w:cstheme="majorBidi"/>
          <w:b/>
          <w:bCs/>
          <w:spacing w:val="-6"/>
          <w:sz w:val="18"/>
          <w:szCs w:val="18"/>
          <w:rtl/>
        </w:rPr>
      </w:pPr>
      <w:r w:rsidRPr="00EC1553">
        <w:rPr>
          <w:rFonts w:asciiTheme="majorBidi" w:hAnsiTheme="majorBidi" w:cstheme="majorBidi"/>
          <w:b/>
          <w:bCs/>
          <w:spacing w:val="-6"/>
          <w:sz w:val="18"/>
          <w:szCs w:val="18"/>
          <w:rtl/>
        </w:rPr>
        <w:t xml:space="preserve">وقد افتتح الله سوَر القرآن بعشرة أنواع من الكلام، لا يخرج شيء من السوَر عنها: </w:t>
      </w:r>
    </w:p>
    <w:p w:rsidR="00EC1553" w:rsidRPr="00EC1553" w:rsidRDefault="00EC1553" w:rsidP="00EC1553">
      <w:pPr>
        <w:spacing w:after="120" w:line="240" w:lineRule="auto"/>
        <w:ind w:left="720" w:hanging="720"/>
        <w:jc w:val="lowKashida"/>
        <w:rPr>
          <w:rFonts w:asciiTheme="majorBidi" w:hAnsiTheme="majorBidi" w:cstheme="majorBidi"/>
          <w:b/>
          <w:bCs/>
          <w:sz w:val="18"/>
          <w:szCs w:val="18"/>
          <w:rtl/>
        </w:rPr>
      </w:pPr>
      <w:r w:rsidRPr="00EC1553">
        <w:rPr>
          <w:rFonts w:asciiTheme="majorBidi" w:eastAsia="Calibri" w:hAnsiTheme="majorBidi" w:cstheme="majorBidi"/>
          <w:b/>
          <w:bCs/>
          <w:sz w:val="18"/>
          <w:szCs w:val="18"/>
          <w:rtl/>
        </w:rPr>
        <w:t>الأول:</w:t>
      </w:r>
      <w:r w:rsidRPr="00EC1553">
        <w:rPr>
          <w:rFonts w:asciiTheme="majorBidi" w:hAnsiTheme="majorBidi" w:cstheme="majorBidi"/>
          <w:b/>
          <w:bCs/>
          <w:sz w:val="18"/>
          <w:szCs w:val="18"/>
          <w:rtl/>
        </w:rPr>
        <w:t xml:space="preserve"> الثناء عليه تعالى، وهو قسمان: إثبات لصفات المدح، ونفي وتنزيه من صفات النقص. فالتحميد في خمس سوَر، و{ﯔ} في سورتيْن، والتسبيح في سبع سور. </w:t>
      </w:r>
    </w:p>
    <w:p w:rsidR="00EC1553" w:rsidRPr="00EC1553" w:rsidRDefault="00EC1553" w:rsidP="00EC1553">
      <w:pPr>
        <w:spacing w:after="120" w:line="240" w:lineRule="auto"/>
        <w:ind w:left="720" w:hanging="720"/>
        <w:jc w:val="lowKashida"/>
        <w:rPr>
          <w:rFonts w:asciiTheme="majorBidi" w:hAnsiTheme="majorBidi" w:cstheme="majorBidi"/>
          <w:b/>
          <w:bCs/>
          <w:sz w:val="18"/>
          <w:szCs w:val="18"/>
          <w:rtl/>
        </w:rPr>
      </w:pPr>
      <w:r w:rsidRPr="00EC1553">
        <w:rPr>
          <w:rFonts w:asciiTheme="majorBidi" w:eastAsia="Calibri" w:hAnsiTheme="majorBidi" w:cstheme="majorBidi"/>
          <w:b/>
          <w:bCs/>
          <w:sz w:val="18"/>
          <w:szCs w:val="18"/>
          <w:rtl/>
        </w:rPr>
        <w:t>الثاني:</w:t>
      </w:r>
      <w:r w:rsidRPr="00EC1553">
        <w:rPr>
          <w:rFonts w:asciiTheme="majorBidi" w:hAnsiTheme="majorBidi" w:cstheme="majorBidi"/>
          <w:b/>
          <w:bCs/>
          <w:sz w:val="18"/>
          <w:szCs w:val="18"/>
          <w:rtl/>
        </w:rPr>
        <w:t xml:space="preserve"> حروف التهجي، في تسع وعشرين سورة.</w:t>
      </w:r>
    </w:p>
    <w:p w:rsidR="00EC1553" w:rsidRPr="00EC1553" w:rsidRDefault="00EC1553" w:rsidP="00EC1553">
      <w:pPr>
        <w:spacing w:after="120" w:line="240" w:lineRule="auto"/>
        <w:ind w:left="720" w:hanging="720"/>
        <w:jc w:val="lowKashida"/>
        <w:rPr>
          <w:rFonts w:asciiTheme="majorBidi" w:hAnsiTheme="majorBidi" w:cstheme="majorBidi"/>
          <w:b/>
          <w:bCs/>
          <w:sz w:val="18"/>
          <w:szCs w:val="18"/>
          <w:rtl/>
        </w:rPr>
      </w:pPr>
      <w:r w:rsidRPr="00EC1553">
        <w:rPr>
          <w:rFonts w:asciiTheme="majorBidi" w:eastAsia="Calibri" w:hAnsiTheme="majorBidi" w:cstheme="majorBidi"/>
          <w:b/>
          <w:bCs/>
          <w:sz w:val="18"/>
          <w:szCs w:val="18"/>
          <w:rtl/>
        </w:rPr>
        <w:t>الثالث:</w:t>
      </w:r>
      <w:r w:rsidRPr="00EC1553">
        <w:rPr>
          <w:rFonts w:asciiTheme="majorBidi" w:hAnsiTheme="majorBidi" w:cstheme="majorBidi"/>
          <w:b/>
          <w:bCs/>
          <w:sz w:val="18"/>
          <w:szCs w:val="18"/>
          <w:rtl/>
        </w:rPr>
        <w:t xml:space="preserve"> النداء في عشر سوَر. </w:t>
      </w:r>
    </w:p>
    <w:p w:rsidR="00EC1553" w:rsidRPr="00EC1553" w:rsidRDefault="00EC1553" w:rsidP="00EC1553">
      <w:pPr>
        <w:spacing w:after="120" w:line="240" w:lineRule="auto"/>
        <w:ind w:left="720" w:hanging="720"/>
        <w:jc w:val="lowKashida"/>
        <w:rPr>
          <w:rFonts w:asciiTheme="majorBidi" w:hAnsiTheme="majorBidi" w:cstheme="majorBidi"/>
          <w:b/>
          <w:bCs/>
          <w:sz w:val="18"/>
          <w:szCs w:val="18"/>
          <w:rtl/>
        </w:rPr>
      </w:pPr>
      <w:r w:rsidRPr="00EC1553">
        <w:rPr>
          <w:rFonts w:asciiTheme="majorBidi" w:eastAsia="Calibri" w:hAnsiTheme="majorBidi" w:cstheme="majorBidi"/>
          <w:b/>
          <w:bCs/>
          <w:sz w:val="18"/>
          <w:szCs w:val="18"/>
          <w:rtl/>
        </w:rPr>
        <w:t xml:space="preserve">الرابع: </w:t>
      </w:r>
      <w:r w:rsidRPr="00EC1553">
        <w:rPr>
          <w:rFonts w:asciiTheme="majorBidi" w:hAnsiTheme="majorBidi" w:cstheme="majorBidi"/>
          <w:b/>
          <w:bCs/>
          <w:sz w:val="18"/>
          <w:szCs w:val="18"/>
          <w:rtl/>
        </w:rPr>
        <w:t>الجمل الخبرية، وهي كثيرة.</w:t>
      </w:r>
    </w:p>
    <w:p w:rsidR="00EC1553" w:rsidRPr="00EC1553" w:rsidRDefault="00EC1553" w:rsidP="00EC1553">
      <w:pPr>
        <w:spacing w:after="120" w:line="240" w:lineRule="auto"/>
        <w:ind w:left="720" w:hanging="720"/>
        <w:jc w:val="lowKashida"/>
        <w:rPr>
          <w:rFonts w:asciiTheme="majorBidi" w:hAnsiTheme="majorBidi" w:cstheme="majorBidi"/>
          <w:b/>
          <w:bCs/>
          <w:sz w:val="18"/>
          <w:szCs w:val="18"/>
          <w:rtl/>
        </w:rPr>
      </w:pPr>
      <w:r w:rsidRPr="00EC1553">
        <w:rPr>
          <w:rFonts w:asciiTheme="majorBidi" w:eastAsia="Calibri" w:hAnsiTheme="majorBidi" w:cstheme="majorBidi"/>
          <w:b/>
          <w:bCs/>
          <w:sz w:val="18"/>
          <w:szCs w:val="18"/>
          <w:rtl/>
        </w:rPr>
        <w:t>الخامس:</w:t>
      </w:r>
      <w:r w:rsidRPr="00EC1553">
        <w:rPr>
          <w:rFonts w:asciiTheme="majorBidi" w:hAnsiTheme="majorBidi" w:cstheme="majorBidi"/>
          <w:b/>
          <w:bCs/>
          <w:sz w:val="18"/>
          <w:szCs w:val="18"/>
          <w:rtl/>
        </w:rPr>
        <w:t xml:space="preserve"> القَسَم في خمس عشرة. </w:t>
      </w:r>
    </w:p>
    <w:p w:rsidR="00EC1553" w:rsidRPr="00EC1553" w:rsidRDefault="00EC1553" w:rsidP="00EC1553">
      <w:pPr>
        <w:spacing w:after="120" w:line="240" w:lineRule="auto"/>
        <w:ind w:left="720" w:hanging="720"/>
        <w:jc w:val="lowKashida"/>
        <w:rPr>
          <w:rFonts w:asciiTheme="majorBidi" w:hAnsiTheme="majorBidi" w:cstheme="majorBidi"/>
          <w:b/>
          <w:bCs/>
          <w:sz w:val="18"/>
          <w:szCs w:val="18"/>
          <w:rtl/>
        </w:rPr>
      </w:pPr>
      <w:r w:rsidRPr="00EC1553">
        <w:rPr>
          <w:rFonts w:asciiTheme="majorBidi" w:eastAsia="Calibri" w:hAnsiTheme="majorBidi" w:cstheme="majorBidi"/>
          <w:b/>
          <w:bCs/>
          <w:sz w:val="18"/>
          <w:szCs w:val="18"/>
          <w:rtl/>
        </w:rPr>
        <w:t>السادس:</w:t>
      </w:r>
      <w:r w:rsidRPr="00EC1553">
        <w:rPr>
          <w:rFonts w:asciiTheme="majorBidi" w:hAnsiTheme="majorBidi" w:cstheme="majorBidi"/>
          <w:b/>
          <w:bCs/>
          <w:sz w:val="18"/>
          <w:szCs w:val="18"/>
          <w:rtl/>
        </w:rPr>
        <w:t xml:space="preserve"> الشرط في سبع سوَر. </w:t>
      </w:r>
    </w:p>
    <w:p w:rsidR="00EC1553" w:rsidRPr="00EC1553" w:rsidRDefault="00EC1553" w:rsidP="00EC1553">
      <w:pPr>
        <w:spacing w:after="120" w:line="240" w:lineRule="auto"/>
        <w:ind w:left="720" w:hanging="720"/>
        <w:jc w:val="lowKashida"/>
        <w:rPr>
          <w:rFonts w:asciiTheme="majorBidi" w:hAnsiTheme="majorBidi" w:cstheme="majorBidi"/>
          <w:b/>
          <w:bCs/>
          <w:sz w:val="18"/>
          <w:szCs w:val="18"/>
          <w:rtl/>
        </w:rPr>
      </w:pPr>
      <w:r w:rsidRPr="00EC1553">
        <w:rPr>
          <w:rFonts w:asciiTheme="majorBidi" w:eastAsia="Calibri" w:hAnsiTheme="majorBidi" w:cstheme="majorBidi"/>
          <w:b/>
          <w:bCs/>
          <w:sz w:val="18"/>
          <w:szCs w:val="18"/>
          <w:rtl/>
        </w:rPr>
        <w:t>السابع:</w:t>
      </w:r>
      <w:r w:rsidRPr="00EC1553">
        <w:rPr>
          <w:rFonts w:asciiTheme="majorBidi" w:hAnsiTheme="majorBidi" w:cstheme="majorBidi"/>
          <w:b/>
          <w:bCs/>
          <w:sz w:val="18"/>
          <w:szCs w:val="18"/>
          <w:rtl/>
        </w:rPr>
        <w:t xml:space="preserve"> الأمر في ست سوَر. </w:t>
      </w:r>
    </w:p>
    <w:p w:rsidR="00EC1553" w:rsidRPr="00EC1553" w:rsidRDefault="00EC1553" w:rsidP="00EC1553">
      <w:pPr>
        <w:spacing w:after="120" w:line="240" w:lineRule="auto"/>
        <w:ind w:left="720" w:hanging="720"/>
        <w:jc w:val="lowKashida"/>
        <w:rPr>
          <w:rFonts w:asciiTheme="majorBidi" w:hAnsiTheme="majorBidi" w:cstheme="majorBidi"/>
          <w:b/>
          <w:bCs/>
          <w:sz w:val="18"/>
          <w:szCs w:val="18"/>
          <w:rtl/>
        </w:rPr>
      </w:pPr>
      <w:r w:rsidRPr="00EC1553">
        <w:rPr>
          <w:rFonts w:asciiTheme="majorBidi" w:eastAsia="Calibri" w:hAnsiTheme="majorBidi" w:cstheme="majorBidi"/>
          <w:b/>
          <w:bCs/>
          <w:sz w:val="18"/>
          <w:szCs w:val="18"/>
          <w:rtl/>
        </w:rPr>
        <w:t>الثامن:</w:t>
      </w:r>
      <w:r w:rsidRPr="00EC1553">
        <w:rPr>
          <w:rFonts w:asciiTheme="majorBidi" w:hAnsiTheme="majorBidi" w:cstheme="majorBidi"/>
          <w:b/>
          <w:bCs/>
          <w:sz w:val="18"/>
          <w:szCs w:val="18"/>
          <w:rtl/>
        </w:rPr>
        <w:t xml:space="preserve"> الاستفهام في ست سوَر. </w:t>
      </w:r>
    </w:p>
    <w:p w:rsidR="00EC1553" w:rsidRPr="00EC1553" w:rsidRDefault="00EC1553" w:rsidP="00EC1553">
      <w:pPr>
        <w:spacing w:after="120" w:line="240" w:lineRule="auto"/>
        <w:ind w:left="720" w:hanging="720"/>
        <w:jc w:val="lowKashida"/>
        <w:rPr>
          <w:rFonts w:asciiTheme="majorBidi" w:hAnsiTheme="majorBidi" w:cstheme="majorBidi"/>
          <w:b/>
          <w:bCs/>
          <w:sz w:val="18"/>
          <w:szCs w:val="18"/>
          <w:rtl/>
        </w:rPr>
      </w:pPr>
      <w:r w:rsidRPr="00EC1553">
        <w:rPr>
          <w:rFonts w:asciiTheme="majorBidi" w:eastAsia="Calibri" w:hAnsiTheme="majorBidi" w:cstheme="majorBidi"/>
          <w:b/>
          <w:bCs/>
          <w:sz w:val="18"/>
          <w:szCs w:val="18"/>
          <w:rtl/>
        </w:rPr>
        <w:t>التاسع:</w:t>
      </w:r>
      <w:r w:rsidRPr="00EC1553">
        <w:rPr>
          <w:rFonts w:asciiTheme="majorBidi" w:hAnsiTheme="majorBidi" w:cstheme="majorBidi"/>
          <w:b/>
          <w:bCs/>
          <w:sz w:val="18"/>
          <w:szCs w:val="18"/>
          <w:rtl/>
        </w:rPr>
        <w:t xml:space="preserve"> الدعاء في ثلاث. </w:t>
      </w:r>
    </w:p>
    <w:p w:rsidR="00EC1553" w:rsidRPr="00EC1553" w:rsidRDefault="00EC1553" w:rsidP="00EC1553">
      <w:pPr>
        <w:spacing w:after="120" w:line="240" w:lineRule="auto"/>
        <w:ind w:left="720" w:hanging="720"/>
        <w:jc w:val="lowKashida"/>
        <w:rPr>
          <w:rFonts w:asciiTheme="majorBidi" w:hAnsiTheme="majorBidi" w:cstheme="majorBidi"/>
          <w:b/>
          <w:bCs/>
          <w:sz w:val="18"/>
          <w:szCs w:val="18"/>
          <w:rtl/>
        </w:rPr>
      </w:pPr>
      <w:r w:rsidRPr="00EC1553">
        <w:rPr>
          <w:rFonts w:asciiTheme="majorBidi" w:eastAsia="Calibri" w:hAnsiTheme="majorBidi" w:cstheme="majorBidi"/>
          <w:b/>
          <w:bCs/>
          <w:sz w:val="18"/>
          <w:szCs w:val="18"/>
          <w:rtl/>
        </w:rPr>
        <w:t>العاشر:</w:t>
      </w:r>
      <w:r w:rsidRPr="00EC1553">
        <w:rPr>
          <w:rFonts w:asciiTheme="majorBidi" w:hAnsiTheme="majorBidi" w:cstheme="majorBidi"/>
          <w:b/>
          <w:bCs/>
          <w:sz w:val="18"/>
          <w:szCs w:val="18"/>
          <w:rtl/>
        </w:rPr>
        <w:t xml:space="preserve"> التعليل في {ﭑ ﭒ} [قريش: 1].</w:t>
      </w:r>
    </w:p>
    <w:p w:rsidR="00EC1553" w:rsidRPr="00EC1553" w:rsidRDefault="00EC1553" w:rsidP="00EC1553">
      <w:pPr>
        <w:spacing w:after="120" w:line="240" w:lineRule="auto"/>
        <w:jc w:val="lowKashida"/>
        <w:rPr>
          <w:rFonts w:asciiTheme="majorBidi" w:hAnsiTheme="majorBidi" w:cstheme="majorBidi"/>
          <w:b/>
          <w:bCs/>
          <w:sz w:val="18"/>
          <w:szCs w:val="18"/>
          <w:rtl/>
        </w:rPr>
      </w:pPr>
      <w:r w:rsidRPr="00EC1553">
        <w:rPr>
          <w:rFonts w:asciiTheme="majorBidi" w:hAnsiTheme="majorBidi" w:cstheme="majorBidi"/>
          <w:b/>
          <w:bCs/>
          <w:sz w:val="18"/>
          <w:szCs w:val="18"/>
          <w:rtl/>
        </w:rPr>
        <w:t>قال أهل البيان من البلاغة حُسن الابتداء، وهو: أن يتأنق في أول الكلام، لأنه أول ما يقرع السمع؛ فإن كان محررًا أقبل السامع على الكلام ووعاه، وإلا أعرض عنه، ولو كان الباقي في نهاية الحسن؛ فينبغي أن يؤتى فيه بأعذب اللفظ.</w:t>
      </w:r>
    </w:p>
    <w:p w:rsidR="00EC1553" w:rsidRPr="00EC1553" w:rsidRDefault="00EC1553" w:rsidP="00EC1553">
      <w:pPr>
        <w:spacing w:line="240" w:lineRule="auto"/>
        <w:rPr>
          <w:rFonts w:asciiTheme="majorBidi" w:hAnsiTheme="majorBidi" w:cstheme="majorBidi"/>
          <w:b/>
          <w:bCs/>
          <w:sz w:val="18"/>
          <w:szCs w:val="18"/>
          <w:rtl/>
          <w:lang w:bidi="ar-EG"/>
        </w:rPr>
      </w:pP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 xml:space="preserve">(الإتقان في علوم القرآن) </w:t>
      </w:r>
    </w:p>
    <w:p w:rsidR="00EC1553" w:rsidRPr="00EC1553" w:rsidRDefault="00EC1553" w:rsidP="00EC1553">
      <w:pPr>
        <w:spacing w:after="120" w:line="240" w:lineRule="auto"/>
        <w:ind w:left="363" w:hanging="79"/>
        <w:jc w:val="both"/>
        <w:rPr>
          <w:rFonts w:asciiTheme="majorBidi" w:hAnsiTheme="majorBidi" w:cstheme="majorBidi"/>
          <w:b/>
          <w:bCs/>
          <w:sz w:val="18"/>
          <w:szCs w:val="18"/>
        </w:rPr>
      </w:pPr>
      <w:r w:rsidRPr="00EC1553">
        <w:rPr>
          <w:rFonts w:asciiTheme="majorBidi" w:hAnsiTheme="majorBidi" w:cstheme="majorBidi"/>
          <w:b/>
          <w:bCs/>
          <w:sz w:val="18"/>
          <w:szCs w:val="18"/>
          <w:rtl/>
        </w:rPr>
        <w:t>أبو بكر عبد الرحمن بن الكمال السيوطي, الهيئة المصرية العامة للكتاب، 1974م.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(إعجاز القرآن)</w:t>
      </w:r>
    </w:p>
    <w:p w:rsidR="00EC1553" w:rsidRPr="00EC1553" w:rsidRDefault="00EC1553" w:rsidP="00EC1553">
      <w:pPr>
        <w:spacing w:after="120" w:line="240" w:lineRule="auto"/>
        <w:ind w:left="363" w:hanging="79"/>
        <w:jc w:val="both"/>
        <w:rPr>
          <w:rFonts w:asciiTheme="majorBidi" w:hAnsiTheme="majorBidi" w:cstheme="majorBidi"/>
          <w:b/>
          <w:bCs/>
          <w:sz w:val="18"/>
          <w:szCs w:val="18"/>
        </w:rPr>
      </w:pPr>
      <w:r w:rsidRPr="00EC1553">
        <w:rPr>
          <w:rFonts w:asciiTheme="majorBidi" w:hAnsiTheme="majorBidi" w:cstheme="majorBidi"/>
          <w:b/>
          <w:bCs/>
          <w:sz w:val="18"/>
          <w:szCs w:val="18"/>
          <w:rtl/>
        </w:rPr>
        <w:t>أبو بكر بن الطيب الباقلاني، تحقيق: عماد الدين حيدر، مؤسسة الكتب الثقافية، 1991م.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(البرهان في علوم القرآن)</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lang w:eastAsia="ar-SA"/>
        </w:rPr>
        <w:lastRenderedPageBreak/>
        <w:t>محمد بن بهادر بن عبد الله</w:t>
      </w:r>
      <w:r w:rsidRPr="00EC1553">
        <w:rPr>
          <w:rFonts w:asciiTheme="majorBidi" w:hAnsiTheme="majorBidi" w:cstheme="majorBidi"/>
          <w:b/>
          <w:bCs/>
          <w:sz w:val="18"/>
          <w:szCs w:val="18"/>
          <w:rtl/>
        </w:rPr>
        <w:t xml:space="preserve"> الزركشي، دار الكتب العلمية، 2001م.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(التعريفات)</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علي محمد الجرجاني، دار الكتاب المصري، 1991م.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(التوقيف على مهمات التعاريف)</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محمد عبد الرؤوف المناوي، عالم الكتب، 1990م.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(صحيح البخاري مع شرحه فتح الباري)</w:t>
      </w:r>
    </w:p>
    <w:p w:rsidR="00EC1553" w:rsidRPr="00EC1553" w:rsidRDefault="00EC1553" w:rsidP="00EC1553">
      <w:pPr>
        <w:spacing w:after="120" w:line="240" w:lineRule="auto"/>
        <w:ind w:left="363" w:hanging="79"/>
        <w:jc w:val="both"/>
        <w:rPr>
          <w:rFonts w:asciiTheme="majorBidi" w:hAnsiTheme="majorBidi" w:cstheme="majorBidi"/>
          <w:b/>
          <w:bCs/>
          <w:sz w:val="18"/>
          <w:szCs w:val="18"/>
        </w:rPr>
      </w:pPr>
      <w:r w:rsidRPr="00EC1553">
        <w:rPr>
          <w:rFonts w:asciiTheme="majorBidi" w:hAnsiTheme="majorBidi" w:cstheme="majorBidi"/>
          <w:b/>
          <w:bCs/>
          <w:sz w:val="18"/>
          <w:szCs w:val="18"/>
          <w:rtl/>
        </w:rPr>
        <w:t>ابن حجر العسقلاني، دار الكتب العلمية، 1997م.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(العجاب في بيان الأسباب)</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 xml:space="preserve">ابن حجر العسقلاني، دار ابن الجوزي، 1997م. </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(فضائل القرآن)</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أحمد بن شعيب النسائي، مؤسسة الكتب الثقافية، 1985م.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(فيض القدير شرح الجامع الصغير)</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محمد بن عبد الرؤوف المناوي، دار المعرفة، 1980م.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(السبعة في القراءات)</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أحمد بن موسى بن مجاهد، دار المعارف، 1988م.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(لسان العرب)</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محمد بن مكرم بن منظور، طبعة دار إحياء التراث العربي، 1999م.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(مباحث في علوم القرآن)</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صبحي الصالح، دار العلم للملايين، 2002م.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(مباحث في علوم القرآن)</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مناع خليل القطان، مؤسسة الرسالة للطباعة والنشر والتوزيع، 2000م.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(المستدرك على الصحيحين)</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محمد بن عبد الله الحاكم النيسابوري، دار الكتب العلمية، 1990م.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(مناهل العرفان)</w:t>
      </w:r>
    </w:p>
    <w:p w:rsidR="00EC1553" w:rsidRPr="00EC1553" w:rsidRDefault="00EC1553" w:rsidP="00EC1553">
      <w:pPr>
        <w:spacing w:after="120" w:line="240" w:lineRule="auto"/>
        <w:ind w:left="363" w:hanging="79"/>
        <w:jc w:val="both"/>
        <w:rPr>
          <w:rFonts w:asciiTheme="majorBidi" w:hAnsiTheme="majorBidi" w:cstheme="majorBidi"/>
          <w:b/>
          <w:bCs/>
          <w:sz w:val="18"/>
          <w:szCs w:val="18"/>
        </w:rPr>
      </w:pPr>
      <w:r w:rsidRPr="00EC1553">
        <w:rPr>
          <w:rFonts w:asciiTheme="majorBidi" w:hAnsiTheme="majorBidi" w:cstheme="majorBidi"/>
          <w:b/>
          <w:bCs/>
          <w:sz w:val="18"/>
          <w:szCs w:val="18"/>
          <w:rtl/>
        </w:rPr>
        <w:t>محمد بن عبد العظيم الزرقاني، دار الكتب العلمية، 2003م.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(التبيان في تفسير غريب القرآن)</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شهاب الدين أحمد بن محمد الهائم المصري، المكتبة المحمودية، 1960م.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(دلائل الإعجاز)</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عبد القاهر الجرجاني، دار الكتب العلمية، 1988م.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(فهم القرآن)</w:t>
      </w:r>
    </w:p>
    <w:p w:rsidR="00EC1553" w:rsidRPr="00EC1553" w:rsidRDefault="00EC1553" w:rsidP="00EC1553">
      <w:pPr>
        <w:spacing w:after="120" w:line="240" w:lineRule="auto"/>
        <w:ind w:left="363" w:hanging="79"/>
        <w:jc w:val="both"/>
        <w:rPr>
          <w:rFonts w:asciiTheme="majorBidi" w:hAnsiTheme="majorBidi" w:cstheme="majorBidi"/>
          <w:b/>
          <w:bCs/>
          <w:sz w:val="18"/>
          <w:szCs w:val="18"/>
          <w:rtl/>
        </w:rPr>
      </w:pPr>
      <w:r w:rsidRPr="00EC1553">
        <w:rPr>
          <w:rFonts w:asciiTheme="majorBidi" w:hAnsiTheme="majorBidi" w:cstheme="majorBidi"/>
          <w:b/>
          <w:bCs/>
          <w:sz w:val="18"/>
          <w:szCs w:val="18"/>
          <w:rtl/>
        </w:rPr>
        <w:t>الحارث بن أسد المحاسبي، دار الكندي للطباعة والنشر، 1982م.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Pr>
      </w:pPr>
      <w:r w:rsidRPr="00EC1553">
        <w:rPr>
          <w:rFonts w:asciiTheme="majorBidi" w:hAnsiTheme="majorBidi" w:cstheme="majorBidi"/>
          <w:b/>
          <w:bCs/>
          <w:sz w:val="18"/>
          <w:szCs w:val="18"/>
          <w:rtl/>
        </w:rPr>
        <w:t>(نفائس البيان شرح الفرائد الحسان في عد آي القرآن)</w:t>
      </w:r>
    </w:p>
    <w:p w:rsidR="00EC1553" w:rsidRPr="00EC1553" w:rsidRDefault="00EC1553" w:rsidP="00EC1553">
      <w:pPr>
        <w:spacing w:after="120" w:line="240" w:lineRule="auto"/>
        <w:ind w:left="363" w:hanging="79"/>
        <w:jc w:val="lowKashida"/>
        <w:rPr>
          <w:rFonts w:asciiTheme="majorBidi" w:hAnsiTheme="majorBidi" w:cstheme="majorBidi"/>
          <w:b/>
          <w:bCs/>
          <w:sz w:val="18"/>
          <w:szCs w:val="18"/>
        </w:rPr>
      </w:pPr>
      <w:r w:rsidRPr="00EC1553">
        <w:rPr>
          <w:rFonts w:asciiTheme="majorBidi" w:hAnsiTheme="majorBidi" w:cstheme="majorBidi"/>
          <w:b/>
          <w:bCs/>
          <w:sz w:val="18"/>
          <w:szCs w:val="18"/>
          <w:rtl/>
        </w:rPr>
        <w:lastRenderedPageBreak/>
        <w:t>الشيخ عبد الفتاح القاضي، مطبعة عيسى البابي الحلبي، ١٣٥٥هـ.</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(الأصلان في علوم القرآن)</w:t>
      </w:r>
    </w:p>
    <w:p w:rsidR="00EC1553" w:rsidRPr="00EC1553" w:rsidRDefault="00EC1553" w:rsidP="00EC1553">
      <w:pPr>
        <w:spacing w:after="120" w:line="240" w:lineRule="auto"/>
        <w:ind w:left="363" w:hanging="79"/>
        <w:jc w:val="lowKashida"/>
        <w:rPr>
          <w:rFonts w:asciiTheme="majorBidi" w:hAnsiTheme="majorBidi" w:cstheme="majorBidi"/>
          <w:b/>
          <w:bCs/>
          <w:sz w:val="18"/>
          <w:szCs w:val="18"/>
        </w:rPr>
      </w:pPr>
      <w:r w:rsidRPr="00EC1553">
        <w:rPr>
          <w:rFonts w:asciiTheme="majorBidi" w:hAnsiTheme="majorBidi" w:cstheme="majorBidi"/>
          <w:b/>
          <w:bCs/>
          <w:sz w:val="18"/>
          <w:szCs w:val="18"/>
          <w:rtl/>
        </w:rPr>
        <w:t>محمد عبد المنعم القيعي، طبعة المكتبات الأزهرية، ١٩٨٠م.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Pr>
      </w:pPr>
      <w:r w:rsidRPr="00EC1553">
        <w:rPr>
          <w:rFonts w:asciiTheme="majorBidi" w:hAnsiTheme="majorBidi" w:cstheme="majorBidi"/>
          <w:b/>
          <w:bCs/>
          <w:sz w:val="18"/>
          <w:szCs w:val="18"/>
          <w:rtl/>
        </w:rPr>
        <w:t>(مختصر في قواعد التفسير)</w:t>
      </w:r>
    </w:p>
    <w:p w:rsidR="00EC1553" w:rsidRPr="00EC1553" w:rsidRDefault="00EC1553" w:rsidP="00EC1553">
      <w:pPr>
        <w:spacing w:after="120" w:line="240" w:lineRule="auto"/>
        <w:ind w:left="363" w:hanging="79"/>
        <w:jc w:val="lowKashida"/>
        <w:rPr>
          <w:rFonts w:asciiTheme="majorBidi" w:hAnsiTheme="majorBidi" w:cstheme="majorBidi"/>
          <w:b/>
          <w:bCs/>
          <w:sz w:val="18"/>
          <w:szCs w:val="18"/>
        </w:rPr>
      </w:pPr>
      <w:r w:rsidRPr="00EC1553">
        <w:rPr>
          <w:rFonts w:asciiTheme="majorBidi" w:hAnsiTheme="majorBidi" w:cstheme="majorBidi"/>
          <w:b/>
          <w:bCs/>
          <w:sz w:val="18"/>
          <w:szCs w:val="18"/>
          <w:rtl/>
        </w:rPr>
        <w:t>خالد السبت، مطبعة ابن الجوزي، ١٤٢٣هـ.</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Pr>
      </w:pPr>
      <w:r w:rsidRPr="00EC1553">
        <w:rPr>
          <w:rFonts w:asciiTheme="majorBidi" w:hAnsiTheme="majorBidi" w:cstheme="majorBidi"/>
          <w:b/>
          <w:bCs/>
          <w:sz w:val="18"/>
          <w:szCs w:val="18"/>
          <w:rtl/>
        </w:rPr>
        <w:t>(الصحيح المسند من أسباب النزول)</w:t>
      </w:r>
    </w:p>
    <w:p w:rsidR="00EC1553" w:rsidRPr="00EC1553" w:rsidRDefault="00EC1553" w:rsidP="00EC1553">
      <w:pPr>
        <w:spacing w:after="120" w:line="240" w:lineRule="auto"/>
        <w:ind w:left="363" w:hanging="79"/>
        <w:jc w:val="lowKashida"/>
        <w:rPr>
          <w:rFonts w:asciiTheme="majorBidi" w:hAnsiTheme="majorBidi" w:cstheme="majorBidi"/>
          <w:b/>
          <w:bCs/>
          <w:sz w:val="18"/>
          <w:szCs w:val="18"/>
          <w:rtl/>
        </w:rPr>
      </w:pPr>
      <w:r w:rsidRPr="00EC1553">
        <w:rPr>
          <w:rFonts w:asciiTheme="majorBidi" w:hAnsiTheme="majorBidi" w:cstheme="majorBidi"/>
          <w:b/>
          <w:bCs/>
          <w:sz w:val="18"/>
          <w:szCs w:val="18"/>
          <w:rtl/>
        </w:rPr>
        <w:t>مقبل بن هادي الوادعي، الرياض،  مكتبة المعارف، 1400هـ.</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lastRenderedPageBreak/>
        <w:t>(موسوعة فضائل سور وآيات القرآن)</w:t>
      </w:r>
    </w:p>
    <w:p w:rsidR="00EC1553" w:rsidRPr="00EC1553" w:rsidRDefault="00EC1553" w:rsidP="00EC1553">
      <w:pPr>
        <w:spacing w:after="120" w:line="240" w:lineRule="auto"/>
        <w:ind w:left="363" w:hanging="79"/>
        <w:jc w:val="lowKashida"/>
        <w:rPr>
          <w:rFonts w:asciiTheme="majorBidi" w:hAnsiTheme="majorBidi" w:cstheme="majorBidi"/>
          <w:b/>
          <w:bCs/>
          <w:sz w:val="18"/>
          <w:szCs w:val="18"/>
          <w:rtl/>
        </w:rPr>
      </w:pPr>
      <w:r w:rsidRPr="00EC1553">
        <w:rPr>
          <w:rFonts w:asciiTheme="majorBidi" w:hAnsiTheme="majorBidi" w:cstheme="majorBidi"/>
          <w:b/>
          <w:bCs/>
          <w:sz w:val="18"/>
          <w:szCs w:val="18"/>
          <w:rtl/>
        </w:rPr>
        <w:t>محمد بن رزق الطرهوني، مكتبة العلم، 1994م.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(سنن القرّاء ومناهج المجوّدين)</w:t>
      </w:r>
    </w:p>
    <w:p w:rsidR="00EC1553" w:rsidRPr="00EC1553" w:rsidRDefault="00EC1553" w:rsidP="00EC1553">
      <w:pPr>
        <w:spacing w:after="120" w:line="240" w:lineRule="auto"/>
        <w:ind w:left="363" w:hanging="79"/>
        <w:jc w:val="lowKashida"/>
        <w:rPr>
          <w:rFonts w:asciiTheme="majorBidi" w:hAnsiTheme="majorBidi" w:cstheme="majorBidi"/>
          <w:b/>
          <w:bCs/>
          <w:sz w:val="18"/>
          <w:szCs w:val="18"/>
        </w:rPr>
      </w:pPr>
      <w:r w:rsidRPr="00EC1553">
        <w:rPr>
          <w:rFonts w:asciiTheme="majorBidi" w:hAnsiTheme="majorBidi" w:cstheme="majorBidi"/>
          <w:b/>
          <w:bCs/>
          <w:sz w:val="18"/>
          <w:szCs w:val="18"/>
          <w:rtl/>
        </w:rPr>
        <w:t>عبد العزيز القارئ، مكتبة الدار للنشر والتوزيع، 2000م.</w:t>
      </w:r>
    </w:p>
    <w:p w:rsidR="00EC1553" w:rsidRPr="00EC1553" w:rsidRDefault="00EC1553" w:rsidP="00EC1553">
      <w:pPr>
        <w:widowControl w:val="0"/>
        <w:numPr>
          <w:ilvl w:val="0"/>
          <w:numId w:val="1"/>
        </w:numPr>
        <w:spacing w:after="120" w:line="240" w:lineRule="auto"/>
        <w:ind w:left="363"/>
        <w:jc w:val="both"/>
        <w:rPr>
          <w:rFonts w:asciiTheme="majorBidi" w:hAnsiTheme="majorBidi" w:cstheme="majorBidi"/>
          <w:b/>
          <w:bCs/>
          <w:sz w:val="18"/>
          <w:szCs w:val="18"/>
          <w:rtl/>
        </w:rPr>
      </w:pPr>
      <w:r w:rsidRPr="00EC1553">
        <w:rPr>
          <w:rFonts w:asciiTheme="majorBidi" w:hAnsiTheme="majorBidi" w:cstheme="majorBidi"/>
          <w:b/>
          <w:bCs/>
          <w:sz w:val="18"/>
          <w:szCs w:val="18"/>
          <w:rtl/>
        </w:rPr>
        <w:t>(النشر في القراءات العشر)</w:t>
      </w:r>
    </w:p>
    <w:p w:rsidR="00EC1553" w:rsidRPr="00EC1553" w:rsidRDefault="00EC1553" w:rsidP="00EC1553">
      <w:pPr>
        <w:spacing w:line="240" w:lineRule="auto"/>
        <w:jc w:val="both"/>
        <w:rPr>
          <w:rFonts w:asciiTheme="majorBidi" w:hAnsiTheme="majorBidi" w:cstheme="majorBidi"/>
          <w:b/>
          <w:bCs/>
          <w:sz w:val="18"/>
          <w:szCs w:val="18"/>
          <w:rtl/>
        </w:rPr>
      </w:pPr>
      <w:r w:rsidRPr="00EC1553">
        <w:rPr>
          <w:rFonts w:asciiTheme="majorBidi" w:hAnsiTheme="majorBidi" w:cstheme="majorBidi"/>
          <w:b/>
          <w:bCs/>
          <w:sz w:val="18"/>
          <w:szCs w:val="18"/>
          <w:rtl/>
        </w:rPr>
        <w:t>محمد بن الجزري، المكتبة التجارية الكبرى، 1970م.</w:t>
      </w:r>
    </w:p>
    <w:p w:rsidR="00EC1553" w:rsidRDefault="00EC1553" w:rsidP="00EC1553">
      <w:pPr>
        <w:rPr>
          <w:sz w:val="52"/>
          <w:szCs w:val="52"/>
          <w:rtl/>
        </w:rPr>
        <w:sectPr w:rsidR="00EC1553" w:rsidSect="00EC1553">
          <w:type w:val="continuous"/>
          <w:pgSz w:w="11906" w:h="16838"/>
          <w:pgMar w:top="1440" w:right="1440" w:bottom="1440" w:left="1440" w:header="720" w:footer="720" w:gutter="0"/>
          <w:cols w:num="2" w:space="720"/>
          <w:bidi/>
          <w:rtlGutter/>
          <w:docGrid w:linePitch="360"/>
        </w:sectPr>
      </w:pPr>
    </w:p>
    <w:p w:rsidR="00EC1553" w:rsidRPr="00EC1553" w:rsidRDefault="00EC1553" w:rsidP="00EC1553">
      <w:pPr>
        <w:rPr>
          <w:sz w:val="52"/>
          <w:szCs w:val="52"/>
        </w:rPr>
      </w:pPr>
    </w:p>
    <w:sectPr w:rsidR="00EC1553" w:rsidRPr="00EC1553" w:rsidSect="00EC1553">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61ED3"/>
    <w:multiLevelType w:val="hybridMultilevel"/>
    <w:tmpl w:val="893C6592"/>
    <w:lvl w:ilvl="0" w:tplc="94D654B6">
      <w:start w:val="1"/>
      <w:numFmt w:val="decimal"/>
      <w:lvlRestart w:val="0"/>
      <w:lvlText w:val="%1."/>
      <w:lvlJc w:val="left"/>
      <w:pPr>
        <w:tabs>
          <w:tab w:val="num" w:pos="369"/>
        </w:tabs>
        <w:ind w:left="1077" w:hanging="357"/>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
    <w:nsid w:val="68DE4FBE"/>
    <w:multiLevelType w:val="hybridMultilevel"/>
    <w:tmpl w:val="D8BA0AE2"/>
    <w:lvl w:ilvl="0" w:tplc="DDAE06A2">
      <w:start w:val="1"/>
      <w:numFmt w:val="bullet"/>
      <w:lvlText w:val=""/>
      <w:lvlJc w:val="center"/>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nsid w:val="6C2A4682"/>
    <w:multiLevelType w:val="hybridMultilevel"/>
    <w:tmpl w:val="6F185264"/>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EC1553"/>
    <w:rsid w:val="00272C2E"/>
    <w:rsid w:val="003902CF"/>
    <w:rsid w:val="005C15CC"/>
    <w:rsid w:val="00AB03AB"/>
    <w:rsid w:val="00EC15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2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EC1553"/>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EC1553"/>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EC1553"/>
    <w:pPr>
      <w:ind w:left="720"/>
      <w:contextualSpacing/>
    </w:pPr>
  </w:style>
  <w:style w:type="character" w:styleId="Hyperlink">
    <w:name w:val="Hyperlink"/>
    <w:basedOn w:val="DefaultParagraphFont"/>
    <w:rsid w:val="003902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imaa.abdelmajeed@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2</cp:revision>
  <dcterms:created xsi:type="dcterms:W3CDTF">2013-06-05T22:40:00Z</dcterms:created>
  <dcterms:modified xsi:type="dcterms:W3CDTF">2013-06-24T10:47:00Z</dcterms:modified>
</cp:coreProperties>
</file>