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76" w:rsidRPr="00531B2C" w:rsidRDefault="00531B2C" w:rsidP="001905B1">
      <w:pPr>
        <w:jc w:val="center"/>
        <w:rPr>
          <w:rFonts w:asciiTheme="majorBidi" w:hAnsiTheme="majorBidi" w:cstheme="majorBidi"/>
          <w:sz w:val="48"/>
          <w:szCs w:val="48"/>
          <w:rtl/>
        </w:rPr>
      </w:pPr>
      <w:r w:rsidRPr="00531B2C">
        <w:rPr>
          <w:rFonts w:asciiTheme="majorBidi" w:eastAsia="Calibri" w:hAnsiTheme="majorBidi" w:cstheme="majorBidi"/>
          <w:sz w:val="48"/>
          <w:szCs w:val="48"/>
          <w:rtl/>
        </w:rPr>
        <w:t>المعاني المتعلقة بالأحكام</w:t>
      </w:r>
    </w:p>
    <w:p w:rsidR="00531B2C" w:rsidRDefault="00531B2C" w:rsidP="00531B2C">
      <w:pPr>
        <w:jc w:val="center"/>
        <w:rPr>
          <w:rFonts w:asciiTheme="majorBidi" w:hAnsiTheme="majorBidi" w:cstheme="majorBidi"/>
          <w:sz w:val="48"/>
          <w:szCs w:val="48"/>
          <w:rtl/>
        </w:rPr>
      </w:pPr>
      <w:r w:rsidRPr="00531B2C">
        <w:rPr>
          <w:rFonts w:asciiTheme="majorBidi" w:eastAsia="Calibri" w:hAnsiTheme="majorBidi" w:cstheme="majorBidi"/>
          <w:sz w:val="48"/>
          <w:szCs w:val="48"/>
          <w:rtl/>
        </w:rPr>
        <w:t>ناسخه ومنسوخه</w:t>
      </w:r>
    </w:p>
    <w:p w:rsidR="00531B2C" w:rsidRPr="007E1CFD" w:rsidRDefault="00531B2C" w:rsidP="00531B2C">
      <w:pPr>
        <w:spacing w:line="500" w:lineRule="exact"/>
        <w:jc w:val="center"/>
        <w:rPr>
          <w:rFonts w:ascii="Calibri" w:eastAsia="Calibri" w:hAnsi="Calibri" w:cs="AGA Rasheeq Bold"/>
          <w:color w:val="4F81BD"/>
          <w:sz w:val="40"/>
          <w:szCs w:val="40"/>
          <w:rtl/>
        </w:rPr>
      </w:pPr>
      <w:r>
        <w:rPr>
          <w:rFonts w:hint="cs"/>
          <w:i/>
          <w:iCs/>
          <w:rtl/>
        </w:rPr>
        <w:t>مبحث فى</w:t>
      </w:r>
      <w:r w:rsidRPr="007E1CFD">
        <w:rPr>
          <w:rFonts w:hint="cs"/>
          <w:i/>
          <w:iCs/>
          <w:sz w:val="18"/>
          <w:szCs w:val="18"/>
          <w:rtl/>
        </w:rPr>
        <w:t xml:space="preserve"> </w:t>
      </w:r>
      <w:r w:rsidRPr="007E1CFD">
        <w:rPr>
          <w:rFonts w:ascii="Calibri" w:eastAsia="Calibri" w:hAnsi="Calibri" w:cs="AGA Rasheeq Bold" w:hint="cs"/>
          <w:sz w:val="18"/>
          <w:szCs w:val="18"/>
          <w:rtl/>
        </w:rPr>
        <w:t>مدخل إلى علوم القرآن</w:t>
      </w:r>
    </w:p>
    <w:p w:rsidR="00531B2C" w:rsidRDefault="00531B2C" w:rsidP="001905B1">
      <w:pPr>
        <w:pStyle w:val="Affiliation"/>
        <w:bidi/>
        <w:rPr>
          <w:rFonts w:eastAsia="Times New Roman"/>
        </w:rPr>
      </w:pPr>
      <w:r w:rsidRPr="001905B1">
        <w:rPr>
          <w:rFonts w:eastAsia="Times New Roman" w:hint="cs"/>
          <w:rtl/>
        </w:rPr>
        <w:t xml:space="preserve">إعداد / </w:t>
      </w:r>
      <w:r w:rsidR="001905B1" w:rsidRPr="001905B1">
        <w:rPr>
          <w:rFonts w:eastAsia="Times New Roman"/>
          <w:rtl/>
        </w:rPr>
        <w:t>فاطمة السيد العشري</w:t>
      </w:r>
    </w:p>
    <w:p w:rsidR="00531B2C" w:rsidRDefault="00531B2C" w:rsidP="00531B2C">
      <w:pPr>
        <w:pStyle w:val="Affiliation"/>
        <w:bidi/>
        <w:rPr>
          <w:rFonts w:eastAsia="Times New Roman"/>
        </w:rPr>
      </w:pPr>
      <w:r w:rsidRPr="001905B1">
        <w:rPr>
          <w:rFonts w:eastAsia="Times New Roman" w:hint="cs"/>
          <w:rtl/>
        </w:rPr>
        <w:t>قسم الدعوة وأصول الدين</w:t>
      </w:r>
    </w:p>
    <w:p w:rsidR="00531B2C" w:rsidRPr="001905B1" w:rsidRDefault="00531B2C" w:rsidP="00531B2C">
      <w:pPr>
        <w:pStyle w:val="Affiliation"/>
        <w:bidi/>
        <w:rPr>
          <w:rFonts w:eastAsia="Times New Roman"/>
        </w:rPr>
      </w:pPr>
      <w:r w:rsidRPr="001905B1">
        <w:rPr>
          <w:rFonts w:eastAsia="Times New Roman" w:hint="cs"/>
          <w:rtl/>
        </w:rPr>
        <w:t xml:space="preserve">كلية العلوم الإسلامية </w:t>
      </w:r>
      <w:r w:rsidRPr="001905B1">
        <w:rPr>
          <w:rFonts w:eastAsia="Times New Roman"/>
          <w:rtl/>
        </w:rPr>
        <w:t>–</w:t>
      </w:r>
      <w:r w:rsidRPr="001905B1">
        <w:rPr>
          <w:rFonts w:eastAsia="Times New Roman" w:hint="cs"/>
          <w:rtl/>
        </w:rPr>
        <w:t xml:space="preserve"> جامعة المدينة العالمية</w:t>
      </w:r>
      <w:r w:rsidRPr="001905B1">
        <w:rPr>
          <w:rFonts w:eastAsia="Times New Roman"/>
        </w:rPr>
        <w:t xml:space="preserve"> </w:t>
      </w:r>
    </w:p>
    <w:p w:rsidR="00531B2C" w:rsidRPr="001905B1" w:rsidRDefault="00531B2C" w:rsidP="00531B2C">
      <w:pPr>
        <w:pStyle w:val="Affiliation"/>
        <w:bidi/>
        <w:rPr>
          <w:rFonts w:eastAsia="Times New Roman"/>
          <w:rtl/>
        </w:rPr>
      </w:pPr>
      <w:r w:rsidRPr="001905B1">
        <w:rPr>
          <w:rFonts w:eastAsia="Times New Roman" w:hint="cs"/>
          <w:rtl/>
        </w:rPr>
        <w:t>شاه علم - ماليزيا</w:t>
      </w:r>
    </w:p>
    <w:p w:rsidR="00531B2C" w:rsidRPr="001905B1" w:rsidRDefault="001905B1" w:rsidP="001905B1">
      <w:pPr>
        <w:pStyle w:val="Affiliation"/>
        <w:bidi/>
        <w:rPr>
          <w:rFonts w:eastAsia="Times New Roman"/>
          <w:rtl/>
        </w:rPr>
        <w:sectPr w:rsidR="00531B2C" w:rsidRPr="001905B1" w:rsidSect="005C15CC">
          <w:pgSz w:w="11906" w:h="16838"/>
          <w:pgMar w:top="1440" w:right="1440" w:bottom="1440" w:left="1440" w:header="720" w:footer="720" w:gutter="0"/>
          <w:cols w:space="720"/>
          <w:bidi/>
          <w:rtlGutter/>
          <w:docGrid w:linePitch="360"/>
        </w:sectPr>
      </w:pPr>
      <w:hyperlink r:id="rId5" w:history="1">
        <w:r w:rsidRPr="001905B1">
          <w:rPr>
            <w:rFonts w:eastAsia="Times New Roman"/>
          </w:rPr>
          <w:t>fatma.alsayed@mediu.ws</w:t>
        </w:r>
      </w:hyperlink>
    </w:p>
    <w:p w:rsidR="00531B2C" w:rsidRPr="00531B2C" w:rsidRDefault="00531B2C" w:rsidP="00531B2C">
      <w:pPr>
        <w:spacing w:line="240" w:lineRule="auto"/>
        <w:rPr>
          <w:rFonts w:asciiTheme="majorBidi" w:hAnsiTheme="majorBidi" w:cstheme="majorBidi"/>
          <w:b/>
          <w:bCs/>
          <w:sz w:val="18"/>
          <w:szCs w:val="18"/>
          <w:rtl/>
        </w:rPr>
      </w:pPr>
      <w:r w:rsidRPr="00531B2C">
        <w:rPr>
          <w:rFonts w:asciiTheme="majorBidi" w:hAnsiTheme="majorBidi" w:cstheme="majorBidi"/>
          <w:b/>
          <w:bCs/>
          <w:sz w:val="18"/>
          <w:szCs w:val="18"/>
          <w:rtl/>
        </w:rPr>
        <w:lastRenderedPageBreak/>
        <w:t xml:space="preserve">الخلاصة – هذا البحث يبحث فى </w:t>
      </w:r>
      <w:r>
        <w:rPr>
          <w:rFonts w:asciiTheme="majorBidi" w:eastAsia="Calibri" w:hAnsiTheme="majorBidi" w:cstheme="majorBidi" w:hint="cs"/>
          <w:b/>
          <w:bCs/>
          <w:sz w:val="18"/>
          <w:szCs w:val="18"/>
          <w:rtl/>
        </w:rPr>
        <w:t>ناسخه ومنسوخه</w:t>
      </w:r>
    </w:p>
    <w:p w:rsidR="00531B2C" w:rsidRPr="00531B2C" w:rsidRDefault="00531B2C" w:rsidP="00531B2C">
      <w:pPr>
        <w:spacing w:before="60" w:line="240" w:lineRule="auto"/>
        <w:rPr>
          <w:rFonts w:asciiTheme="majorBidi" w:eastAsia="Calibri" w:hAnsiTheme="majorBidi" w:cstheme="majorBidi"/>
          <w:b/>
          <w:bCs/>
          <w:sz w:val="18"/>
          <w:szCs w:val="18"/>
          <w:rtl/>
        </w:rPr>
      </w:pPr>
      <w:r w:rsidRPr="00531B2C">
        <w:rPr>
          <w:rFonts w:asciiTheme="majorBidi" w:eastAsia="Calibri" w:hAnsiTheme="majorBidi" w:cstheme="majorBidi"/>
          <w:b/>
          <w:bCs/>
          <w:sz w:val="18"/>
          <w:szCs w:val="18"/>
          <w:rtl/>
        </w:rPr>
        <w:t xml:space="preserve">الكلمات المفتاحية – </w:t>
      </w:r>
      <w:r>
        <w:rPr>
          <w:rFonts w:asciiTheme="majorBidi" w:eastAsia="Calibri" w:hAnsiTheme="majorBidi" w:cstheme="majorBidi" w:hint="cs"/>
          <w:b/>
          <w:bCs/>
          <w:sz w:val="18"/>
          <w:szCs w:val="18"/>
          <w:rtl/>
        </w:rPr>
        <w:t>خلائق</w:t>
      </w:r>
      <w:r w:rsidRPr="00531B2C">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 xml:space="preserve">الناسخ </w:t>
      </w:r>
      <w:r w:rsidRPr="00531B2C">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النسخ</w:t>
      </w:r>
    </w:p>
    <w:p w:rsidR="00531B2C" w:rsidRPr="00531B2C" w:rsidRDefault="00531B2C" w:rsidP="00531B2C">
      <w:pPr>
        <w:pStyle w:val="ListParagraph"/>
        <w:numPr>
          <w:ilvl w:val="0"/>
          <w:numId w:val="2"/>
        </w:numPr>
        <w:spacing w:before="60" w:line="240" w:lineRule="auto"/>
        <w:ind w:left="1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531B2C">
        <w:rPr>
          <w:rFonts w:asciiTheme="majorBidi" w:hAnsiTheme="majorBidi" w:cstheme="majorBidi"/>
          <w:b/>
          <w:bCs/>
          <w:sz w:val="18"/>
          <w:szCs w:val="18"/>
          <w:rtl/>
        </w:rPr>
        <w:t>المقدمة</w:t>
      </w:r>
    </w:p>
    <w:p w:rsidR="00531B2C" w:rsidRPr="00531B2C" w:rsidRDefault="00531B2C" w:rsidP="00531B2C">
      <w:pPr>
        <w:spacing w:line="240" w:lineRule="auto"/>
        <w:rPr>
          <w:rFonts w:asciiTheme="majorBidi" w:hAnsiTheme="majorBidi" w:cstheme="majorBidi"/>
          <w:b/>
          <w:bCs/>
          <w:sz w:val="18"/>
          <w:szCs w:val="18"/>
          <w:rtl/>
        </w:rPr>
      </w:pPr>
      <w:r w:rsidRPr="00531B2C">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Pr>
          <w:rFonts w:asciiTheme="majorBidi" w:eastAsia="Calibri" w:hAnsiTheme="majorBidi" w:cstheme="majorBidi" w:hint="cs"/>
          <w:b/>
          <w:bCs/>
          <w:sz w:val="18"/>
          <w:szCs w:val="18"/>
          <w:rtl/>
        </w:rPr>
        <w:t>ناسخه ومنسوخه</w:t>
      </w:r>
    </w:p>
    <w:p w:rsidR="00531B2C" w:rsidRPr="00531B2C" w:rsidRDefault="00531B2C" w:rsidP="00531B2C">
      <w:pPr>
        <w:pStyle w:val="ListParagraph"/>
        <w:numPr>
          <w:ilvl w:val="0"/>
          <w:numId w:val="3"/>
        </w:numPr>
        <w:spacing w:line="240" w:lineRule="auto"/>
        <w:ind w:left="10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531B2C">
        <w:rPr>
          <w:rFonts w:asciiTheme="majorBidi" w:hAnsiTheme="majorBidi" w:cstheme="majorBidi"/>
          <w:b/>
          <w:bCs/>
          <w:sz w:val="18"/>
          <w:szCs w:val="18"/>
          <w:rtl/>
        </w:rPr>
        <w:t>عنوان المقال</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أفرده بالتصنيف خلائق لا يحصَوْن، منهم: أبو عبيد القاسم بن سلام، وأبو داود السجستاني، وأبو جعفر النحاس، وابن الأنباري، ومكّي، وابن العربي.</w:t>
      </w:r>
    </w:p>
    <w:p w:rsidR="00531B2C" w:rsidRPr="00531B2C" w:rsidRDefault="00531B2C" w:rsidP="00531B2C">
      <w:pPr>
        <w:widowControl w:val="0"/>
        <w:spacing w:after="140" w:line="240" w:lineRule="auto"/>
        <w:jc w:val="lowKashida"/>
        <w:rPr>
          <w:rFonts w:asciiTheme="majorBidi" w:hAnsiTheme="majorBidi" w:cstheme="majorBidi"/>
          <w:b/>
          <w:bCs/>
          <w:spacing w:val="-12"/>
          <w:sz w:val="18"/>
          <w:szCs w:val="18"/>
          <w:rtl/>
        </w:rPr>
      </w:pPr>
      <w:r w:rsidRPr="00531B2C">
        <w:rPr>
          <w:rFonts w:asciiTheme="majorBidi" w:hAnsiTheme="majorBidi" w:cstheme="majorBidi"/>
          <w:b/>
          <w:bCs/>
          <w:spacing w:val="-12"/>
          <w:sz w:val="18"/>
          <w:szCs w:val="18"/>
          <w:rtl/>
        </w:rPr>
        <w:t xml:space="preserve">قال الأئمة: "لا يجوز لأحد أن يفسّر كتاب الله، إلا بعد أن يعرف منه الناسخ والمنسوخ". </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ويأتي النسخ بمعنى: الإزالة، ومنه قوله تعالى: {ﮗ ﮘ ﮙ ﮚ ﮛ ﮜ ﮝ ﮞ ﮟ} [الحج: 52].</w:t>
      </w:r>
    </w:p>
    <w:p w:rsidR="00531B2C" w:rsidRPr="00531B2C" w:rsidRDefault="00531B2C" w:rsidP="00531B2C">
      <w:pPr>
        <w:widowControl w:val="0"/>
        <w:spacing w:after="140" w:line="240" w:lineRule="auto"/>
        <w:jc w:val="lowKashida"/>
        <w:rPr>
          <w:rFonts w:asciiTheme="majorBidi" w:hAnsiTheme="majorBidi" w:cstheme="majorBidi"/>
          <w:b/>
          <w:bCs/>
          <w:spacing w:val="-6"/>
          <w:sz w:val="18"/>
          <w:szCs w:val="18"/>
          <w:rtl/>
        </w:rPr>
      </w:pPr>
      <w:r w:rsidRPr="00531B2C">
        <w:rPr>
          <w:rFonts w:asciiTheme="majorBidi" w:hAnsiTheme="majorBidi" w:cstheme="majorBidi"/>
          <w:b/>
          <w:bCs/>
          <w:spacing w:val="-6"/>
          <w:sz w:val="18"/>
          <w:szCs w:val="18"/>
          <w:rtl/>
        </w:rPr>
        <w:t xml:space="preserve">وبمعنى: التبديل، ومنه، قوله تعالى: </w:t>
      </w:r>
      <w:r w:rsidRPr="00531B2C">
        <w:rPr>
          <w:rFonts w:asciiTheme="majorBidi" w:hAnsiTheme="majorBidi" w:cstheme="majorBidi"/>
          <w:b/>
          <w:bCs/>
          <w:sz w:val="18"/>
          <w:szCs w:val="18"/>
          <w:rtl/>
        </w:rPr>
        <w:t>{ﯜ ﯝ ﯞ ﯟ ﯠ} [النحل: 101].</w:t>
      </w:r>
      <w:r w:rsidRPr="00531B2C">
        <w:rPr>
          <w:rFonts w:asciiTheme="majorBidi" w:hAnsiTheme="majorBidi" w:cstheme="majorBidi"/>
          <w:b/>
          <w:bCs/>
          <w:spacing w:val="-6"/>
          <w:sz w:val="18"/>
          <w:szCs w:val="18"/>
          <w:rtl/>
        </w:rPr>
        <w:t xml:space="preserve"> </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 xml:space="preserve">وبمعنى: التحويل، كتناسخ المواريث بمعنى: تحويل الميراث من واحد إلى واحد. </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وبمعنى: النقل من موضع إلى موضع؛ ومنه: نسخت الكتاب، إذا نقلت ما فيه حاكيًا للفظه وخطه.</w:t>
      </w:r>
    </w:p>
    <w:p w:rsidR="00531B2C" w:rsidRPr="00531B2C" w:rsidRDefault="00531B2C" w:rsidP="00531B2C">
      <w:pPr>
        <w:widowControl w:val="0"/>
        <w:spacing w:after="140" w:line="240" w:lineRule="auto"/>
        <w:jc w:val="lowKashida"/>
        <w:rPr>
          <w:rFonts w:asciiTheme="majorBidi" w:hAnsiTheme="majorBidi" w:cstheme="majorBidi"/>
          <w:b/>
          <w:bCs/>
          <w:spacing w:val="-4"/>
          <w:sz w:val="18"/>
          <w:szCs w:val="18"/>
          <w:rtl/>
        </w:rPr>
      </w:pPr>
      <w:r w:rsidRPr="00531B2C">
        <w:rPr>
          <w:rFonts w:asciiTheme="majorBidi" w:hAnsiTheme="majorBidi" w:cstheme="majorBidi"/>
          <w:b/>
          <w:bCs/>
          <w:spacing w:val="-4"/>
          <w:sz w:val="18"/>
          <w:szCs w:val="18"/>
          <w:rtl/>
        </w:rPr>
        <w:t xml:space="preserve">والنسخ مما خصّ الله به هذه الأمة لحِكم، منها: التيسير. وقد أجمع المسلمون على جوازه، وأنكره اليهود ظنًّا منهم أنه بداء، كالذي يرى الرأي ثم يبدو له؛ وهو باطل، لأنه بيان مدة الحكم كالإحياء بعد الإماتة وعكسه، والمرض بعد الصحة وعكسه، والفقر بعد الغنى وعكسه؛ وذلك لا يكون بداء، فكذا الأمر والنهي. </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 xml:space="preserve">واختلف العلماء فقيل: لا يُنسخ القرآن إلا بقرآن، لقوله تعالى: {ﭒ ﭓ ﭔ ﭕ ﭖ ﭗ ﭘ ﭙ ﭚ ﭛ ﭜ} [البقرة: 106]، قالوا: ولا يكون مثل القرآن وخيرًا منه إلا قرآن. </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 xml:space="preserve">وقيل: بل يُنسخ القرآن بالسّنَّة، لأنها أيضًا من عند الله، قال تعالى: {ﭛ ﭜ ﭝ ﭞ} [النجم: 3]، وجُعل منه آية الوصية الآتية. </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ولا يقع النسخ إلا في الأمر والنهي، ولو بلفظ الخبر. أما الخبر الذي ليس بمعنى الطلب، فلا يدخله النسخ، ومنه: الوعد والوعيد.</w:t>
      </w:r>
    </w:p>
    <w:p w:rsidR="00531B2C" w:rsidRPr="00531B2C" w:rsidRDefault="00531B2C" w:rsidP="00531B2C">
      <w:pPr>
        <w:spacing w:before="100" w:beforeAutospacing="1" w:after="100" w:afterAutospacing="1"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والنسخ أقسام:</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أحدها: نسخ المأمور به قبل امتثاله، وهو النسخ على الحقيقة، كآية النجوى.</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الثاني: ما نُسخ مما كان شرعًا لمن قبلنا، كآية شرع القصاص، والدّيه، أو كان أمر به أمرًا جمليًا، كنسخ التوجّه إلى بيت المقدس بالكعبة، وصوم عاشوراء برمضان. وإنما يسمّى هذا نسخًا تجوّزًا.</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lastRenderedPageBreak/>
        <w:t>الثالث: ما أُمر به لسبب، ثم يزول السبب، كالأمر حين الضعف والقلة بالصبر والصفح، ثم نسخ بإيجاب القتال؛ وهذا في الحقيقة ليس نسخًا بل هو من قسم المُنسَأ كما قال تعالى: "أَوْ نَنسَأْهَا"، فالمُنسَأ هو: الأمر بالقتال إلى أن يقوى المسلمون، وفي حال الضعف يكون الحكم وجوب الصبر على الأذى. وبهذا يضعف ما لهج به كثيرون من أن الآية في ذلك منسوخة بآية السيف، وليس كذلك؛ بل هي من المُنسَأ بمعنى: أن كل أمر ورد يجب امتثاله في وقت ما، لعله يقتضي ذلك الحكم، ثم ينتقل بانتقال تلك العلة إلى حكم آخر، وليس بنسخ؛ إنما النسخ: الإزالة للحكم حتى لا يجوز امتثاله.</w:t>
      </w:r>
    </w:p>
    <w:p w:rsidR="00531B2C" w:rsidRPr="00531B2C" w:rsidRDefault="00531B2C" w:rsidP="00531B2C">
      <w:pPr>
        <w:spacing w:before="100" w:beforeAutospacing="1" w:after="100" w:afterAutospacing="1"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والنسخ في القرآن على ثلاثة أضرب:</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 xml:space="preserve">أحدها: ما نُسخ تلاوته وحكمه معًا، قالت عائشة: "كان فيما أُنزل: "عشر رضعات معلومات"، فنُسخن بخمس معلومات. فتوفي رسول الله </w:t>
      </w:r>
      <w:r w:rsidRPr="00531B2C">
        <w:rPr>
          <w:rFonts w:asciiTheme="majorBidi" w:hAnsiTheme="majorBidi" w:cstheme="majorBidi"/>
          <w:b/>
          <w:bCs/>
          <w:position w:val="-4"/>
          <w:sz w:val="18"/>
          <w:szCs w:val="18"/>
        </w:rPr>
        <w:sym w:font="AGA Arabesque" w:char="F065"/>
      </w:r>
      <w:r w:rsidRPr="00531B2C">
        <w:rPr>
          <w:rFonts w:asciiTheme="majorBidi" w:hAnsiTheme="majorBidi" w:cstheme="majorBidi"/>
          <w:b/>
          <w:bCs/>
          <w:sz w:val="18"/>
          <w:szCs w:val="18"/>
          <w:rtl/>
        </w:rPr>
        <w:t xml:space="preserve"> وهنّ مما يُقرأ من القرآن". رواه الشيخان.</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 xml:space="preserve">الثاني: ما نُسخ حكمُه دون تلاوته؛ وهذا الضرب هو الذي فيه الكتب المؤلفة. وهو على الحقيقة قليل جدًّا، وإن أكثر الناس من تعداد الآيات فيه؛ فإن المحققين منهم كالقاضي أبي بكر بن العربي بيّن ذلك وأتقنه. </w:t>
      </w:r>
    </w:p>
    <w:p w:rsidR="00531B2C" w:rsidRPr="00531B2C" w:rsidRDefault="00531B2C" w:rsidP="00531B2C">
      <w:pPr>
        <w:spacing w:before="100" w:beforeAutospacing="1" w:after="100" w:afterAutospacing="1"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ومن أمثلة المنسوخ:</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 xml:space="preserve">قوله تعالى: {ﯝ ﯞ ﯟ ﯠ ﯡ ﯢ} [البقرة:180]، الآية: منسوخة قيل: بآية المواريث، وقيل: بحديث: ((ألا لا وصيّةَ لوارث))، وقيل: بالإجماع، حكاه ابن العربي. </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 xml:space="preserve">وقوله تعالى: {ﮁ ﮂ ﮃ ﮄ} [البقرة: 184]، قيل: منسوخة بقوله: {ﮥ ﮦ ﮧ ﮨ ﮩ} [البقرة: 185]، وقيل: محكمة و لا مقدّرة. </w:t>
      </w:r>
    </w:p>
    <w:p w:rsidR="00531B2C" w:rsidRPr="00531B2C" w:rsidRDefault="00531B2C" w:rsidP="00531B2C">
      <w:pPr>
        <w:widowControl w:val="0"/>
        <w:spacing w:after="140" w:line="240" w:lineRule="auto"/>
        <w:jc w:val="lowKashida"/>
        <w:rPr>
          <w:rFonts w:asciiTheme="majorBidi" w:hAnsiTheme="majorBidi" w:cstheme="majorBidi"/>
          <w:b/>
          <w:bCs/>
          <w:spacing w:val="-10"/>
          <w:sz w:val="18"/>
          <w:szCs w:val="18"/>
          <w:rtl/>
        </w:rPr>
      </w:pPr>
      <w:r w:rsidRPr="00531B2C">
        <w:rPr>
          <w:rFonts w:asciiTheme="majorBidi" w:hAnsiTheme="majorBidi" w:cstheme="majorBidi"/>
          <w:b/>
          <w:bCs/>
          <w:spacing w:val="-10"/>
          <w:sz w:val="18"/>
          <w:szCs w:val="18"/>
          <w:rtl/>
        </w:rPr>
        <w:t xml:space="preserve">وقوله تعالى: {ﭿ ﮀ ﮁ ﮂ ﮃ ﮄ ﮅ ﮆ ﮇ ﮈ} [البقرة: 284]: منسوخة بقوله بعده: {ﯗ ﯘ ﯙ ﯚ ﯛ ﯜ ﯝ} [البقرة: 286]. </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 xml:space="preserve">قال ابن الحصار: إنما يرجع في النسخ إلى نقل صريح عن رسول الله </w:t>
      </w:r>
      <w:r w:rsidRPr="00531B2C">
        <w:rPr>
          <w:rFonts w:asciiTheme="majorBidi" w:hAnsiTheme="majorBidi" w:cstheme="majorBidi"/>
          <w:b/>
          <w:bCs/>
          <w:position w:val="-4"/>
          <w:sz w:val="18"/>
          <w:szCs w:val="18"/>
        </w:rPr>
        <w:sym w:font="AGA Arabesque" w:char="F065"/>
      </w:r>
      <w:r w:rsidRPr="00531B2C">
        <w:rPr>
          <w:rFonts w:asciiTheme="majorBidi" w:hAnsiTheme="majorBidi" w:cstheme="majorBidi"/>
          <w:b/>
          <w:bCs/>
          <w:sz w:val="18"/>
          <w:szCs w:val="18"/>
          <w:rtl/>
        </w:rPr>
        <w:t>، أو عن صحابي يقول: "آية كذا نسخت كذا".</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قال: "وقد يحكم به عند وجود التعارض المقطوع به من علْم التاريخ، ليعرف المتقدّم والمتأخر".</w:t>
      </w:r>
    </w:p>
    <w:p w:rsidR="00531B2C" w:rsidRPr="00531B2C" w:rsidRDefault="00531B2C" w:rsidP="00531B2C">
      <w:pPr>
        <w:widowControl w:val="0"/>
        <w:spacing w:after="140" w:line="240" w:lineRule="auto"/>
        <w:jc w:val="lowKashida"/>
        <w:rPr>
          <w:rFonts w:asciiTheme="majorBidi" w:hAnsiTheme="majorBidi" w:cstheme="majorBidi"/>
          <w:b/>
          <w:bCs/>
          <w:spacing w:val="-10"/>
          <w:sz w:val="18"/>
          <w:szCs w:val="18"/>
          <w:rtl/>
        </w:rPr>
      </w:pPr>
      <w:r w:rsidRPr="00531B2C">
        <w:rPr>
          <w:rFonts w:asciiTheme="majorBidi" w:hAnsiTheme="majorBidi" w:cstheme="majorBidi"/>
          <w:b/>
          <w:bCs/>
          <w:spacing w:val="-10"/>
          <w:sz w:val="18"/>
          <w:szCs w:val="18"/>
          <w:rtl/>
        </w:rPr>
        <w:t>قال: "ولا يعتمد في النسخ قول عوام المفسرين، بل ولا اجتهاد المجتهدين، من غير نقل صحيح، ولا معارضة بيّنة، لأن النسخ يتضمن رفع حكم وإثبات حكم تقرر في عهده</w:t>
      </w:r>
      <w:r w:rsidRPr="00531B2C">
        <w:rPr>
          <w:rFonts w:asciiTheme="majorBidi" w:hAnsiTheme="majorBidi" w:cstheme="majorBidi"/>
          <w:b/>
          <w:bCs/>
          <w:position w:val="-4"/>
          <w:sz w:val="18"/>
          <w:szCs w:val="18"/>
        </w:rPr>
        <w:sym w:font="AGA Arabesque" w:char="F065"/>
      </w:r>
      <w:r w:rsidRPr="00531B2C">
        <w:rPr>
          <w:rFonts w:asciiTheme="majorBidi" w:hAnsiTheme="majorBidi" w:cstheme="majorBidi"/>
          <w:b/>
          <w:bCs/>
          <w:spacing w:val="-10"/>
          <w:sz w:val="18"/>
          <w:szCs w:val="18"/>
          <w:rtl/>
        </w:rPr>
        <w:t>؛ والمعتمد فيه: النقل والتاريخ، دون الرأي والاجتهاد.</w:t>
      </w:r>
    </w:p>
    <w:p w:rsidR="00531B2C" w:rsidRPr="00531B2C" w:rsidRDefault="00531B2C" w:rsidP="00531B2C">
      <w:pPr>
        <w:spacing w:before="100" w:beforeAutospacing="1" w:after="100" w:afterAutospacing="1"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الضرب الثالث: ما نُسخ تلاوته دون حكمه.</w:t>
      </w:r>
    </w:p>
    <w:p w:rsidR="00531B2C" w:rsidRPr="00531B2C" w:rsidRDefault="00531B2C" w:rsidP="00531B2C">
      <w:pPr>
        <w:widowControl w:val="0"/>
        <w:spacing w:after="140" w:line="240" w:lineRule="auto"/>
        <w:jc w:val="lowKashida"/>
        <w:rPr>
          <w:rFonts w:asciiTheme="majorBidi" w:hAnsiTheme="majorBidi" w:cstheme="majorBidi"/>
          <w:b/>
          <w:bCs/>
          <w:sz w:val="18"/>
          <w:szCs w:val="18"/>
          <w:rtl/>
        </w:rPr>
      </w:pPr>
      <w:r w:rsidRPr="00531B2C">
        <w:rPr>
          <w:rFonts w:asciiTheme="majorBidi" w:hAnsiTheme="majorBidi" w:cstheme="majorBidi"/>
          <w:b/>
          <w:bCs/>
          <w:sz w:val="18"/>
          <w:szCs w:val="18"/>
          <w:rtl/>
        </w:rPr>
        <w:t>وقد أورد بعضهم فيه سؤالًا، وهو: ما الحكمة في رفع التلاوة مع بقاء الحكم، وهلاّ بقيت التلاوة ليجتمع العمل بحكمها وثواب تلاوتها؟</w:t>
      </w:r>
    </w:p>
    <w:p w:rsidR="00531B2C" w:rsidRPr="00531B2C" w:rsidRDefault="00531B2C" w:rsidP="00531B2C">
      <w:pPr>
        <w:pStyle w:val="ListParagraph"/>
        <w:spacing w:line="240" w:lineRule="auto"/>
        <w:ind w:left="373"/>
        <w:rPr>
          <w:rFonts w:asciiTheme="majorBidi" w:hAnsiTheme="majorBidi" w:cstheme="majorBidi"/>
          <w:b/>
          <w:bCs/>
          <w:sz w:val="18"/>
          <w:szCs w:val="18"/>
          <w:rtl/>
        </w:rPr>
      </w:pPr>
      <w:r w:rsidRPr="00531B2C">
        <w:rPr>
          <w:rFonts w:asciiTheme="majorBidi" w:hAnsiTheme="majorBidi" w:cstheme="majorBidi"/>
          <w:b/>
          <w:bCs/>
          <w:sz w:val="18"/>
          <w:szCs w:val="18"/>
          <w:rtl/>
        </w:rPr>
        <w:t xml:space="preserve">ومن أمثلته: عن زر بن حبيش قال: "قال لي أبيّ بن كعب: كم آي تعدّ سورة الأحزاب؟ قلت: اثنتين وسبعين آية، أو ثلاثًا وسبعين آية. </w:t>
      </w:r>
      <w:r w:rsidRPr="00531B2C">
        <w:rPr>
          <w:rFonts w:asciiTheme="majorBidi" w:hAnsiTheme="majorBidi" w:cstheme="majorBidi"/>
          <w:b/>
          <w:bCs/>
          <w:sz w:val="18"/>
          <w:szCs w:val="18"/>
          <w:rtl/>
        </w:rPr>
        <w:lastRenderedPageBreak/>
        <w:t>قال: إن كانت لتعدل سورة (البقرة)، وإن كنا لنقرأ فيها آية الرجم. قلت: وما آية الرجم. قال: "إذا زنى الشيخ والشيخة فارجموهما البتة، نكالًا من الله، والله عزيز حكيم".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 xml:space="preserve">(الإتقان في علوم القرآن) </w:t>
      </w:r>
    </w:p>
    <w:p w:rsidR="00531B2C" w:rsidRPr="00531B2C" w:rsidRDefault="00531B2C" w:rsidP="00531B2C">
      <w:pPr>
        <w:spacing w:after="120" w:line="240" w:lineRule="auto"/>
        <w:ind w:left="363" w:hanging="79"/>
        <w:jc w:val="both"/>
        <w:rPr>
          <w:rFonts w:asciiTheme="majorBidi" w:hAnsiTheme="majorBidi" w:cstheme="majorBidi"/>
          <w:b/>
          <w:bCs/>
          <w:sz w:val="18"/>
          <w:szCs w:val="18"/>
        </w:rPr>
      </w:pPr>
      <w:r w:rsidRPr="00531B2C">
        <w:rPr>
          <w:rFonts w:asciiTheme="majorBidi" w:hAnsiTheme="majorBidi" w:cstheme="majorBidi"/>
          <w:b/>
          <w:bCs/>
          <w:sz w:val="18"/>
          <w:szCs w:val="18"/>
          <w:rtl/>
        </w:rPr>
        <w:t>أبو بكر عبد الرحمن بن الكمال السيوطي, الهيئة المصرية العامة للكتاب، 1974م.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(إعجاز القرآن)</w:t>
      </w:r>
    </w:p>
    <w:p w:rsidR="00531B2C" w:rsidRPr="00531B2C" w:rsidRDefault="00531B2C" w:rsidP="00531B2C">
      <w:pPr>
        <w:spacing w:after="120" w:line="240" w:lineRule="auto"/>
        <w:ind w:left="363" w:hanging="79"/>
        <w:jc w:val="both"/>
        <w:rPr>
          <w:rFonts w:asciiTheme="majorBidi" w:hAnsiTheme="majorBidi" w:cstheme="majorBidi"/>
          <w:b/>
          <w:bCs/>
          <w:sz w:val="18"/>
          <w:szCs w:val="18"/>
        </w:rPr>
      </w:pPr>
      <w:r w:rsidRPr="00531B2C">
        <w:rPr>
          <w:rFonts w:asciiTheme="majorBidi" w:hAnsiTheme="majorBidi" w:cstheme="majorBidi"/>
          <w:b/>
          <w:bCs/>
          <w:sz w:val="18"/>
          <w:szCs w:val="18"/>
          <w:rtl/>
        </w:rPr>
        <w:t>أبو بكر بن الطيب الباقلاني، تحقيق: عماد الدين حيدر، مؤسسة الكتب الثقافية، 1991م.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(البرهان في علوم القرآن)</w:t>
      </w:r>
    </w:p>
    <w:p w:rsidR="00531B2C" w:rsidRPr="00531B2C" w:rsidRDefault="00531B2C" w:rsidP="00531B2C">
      <w:pPr>
        <w:spacing w:after="120" w:line="240" w:lineRule="auto"/>
        <w:ind w:left="363" w:hanging="79"/>
        <w:jc w:val="both"/>
        <w:rPr>
          <w:rFonts w:asciiTheme="majorBidi" w:hAnsiTheme="majorBidi" w:cstheme="majorBidi"/>
          <w:b/>
          <w:bCs/>
          <w:sz w:val="18"/>
          <w:szCs w:val="18"/>
          <w:rtl/>
        </w:rPr>
      </w:pPr>
      <w:r w:rsidRPr="00531B2C">
        <w:rPr>
          <w:rFonts w:asciiTheme="majorBidi" w:hAnsiTheme="majorBidi" w:cstheme="majorBidi"/>
          <w:b/>
          <w:bCs/>
          <w:sz w:val="18"/>
          <w:szCs w:val="18"/>
          <w:rtl/>
          <w:lang w:eastAsia="ar-SA"/>
        </w:rPr>
        <w:t>محمد بن بهادر بن عبد الله</w:t>
      </w:r>
      <w:r w:rsidRPr="00531B2C">
        <w:rPr>
          <w:rFonts w:asciiTheme="majorBidi" w:hAnsiTheme="majorBidi" w:cstheme="majorBidi"/>
          <w:b/>
          <w:bCs/>
          <w:sz w:val="18"/>
          <w:szCs w:val="18"/>
          <w:rtl/>
        </w:rPr>
        <w:t xml:space="preserve"> الزركشي، دار الكتب العلمية، 2001م.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(التعريفات)</w:t>
      </w:r>
    </w:p>
    <w:p w:rsidR="00531B2C" w:rsidRPr="00531B2C" w:rsidRDefault="00531B2C" w:rsidP="00531B2C">
      <w:pPr>
        <w:spacing w:after="120" w:line="240" w:lineRule="auto"/>
        <w:ind w:left="363" w:hanging="79"/>
        <w:jc w:val="both"/>
        <w:rPr>
          <w:rFonts w:asciiTheme="majorBidi" w:hAnsiTheme="majorBidi" w:cstheme="majorBidi"/>
          <w:b/>
          <w:bCs/>
          <w:sz w:val="18"/>
          <w:szCs w:val="18"/>
          <w:rtl/>
        </w:rPr>
      </w:pPr>
      <w:r w:rsidRPr="00531B2C">
        <w:rPr>
          <w:rFonts w:asciiTheme="majorBidi" w:hAnsiTheme="majorBidi" w:cstheme="majorBidi"/>
          <w:b/>
          <w:bCs/>
          <w:sz w:val="18"/>
          <w:szCs w:val="18"/>
          <w:rtl/>
        </w:rPr>
        <w:t>علي محمد الجرجاني، دار الكتاب المصري، 1991م.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(التوقيف على مهمات التعاريف)</w:t>
      </w:r>
    </w:p>
    <w:p w:rsidR="00531B2C" w:rsidRPr="00531B2C" w:rsidRDefault="00531B2C" w:rsidP="00531B2C">
      <w:pPr>
        <w:spacing w:after="120" w:line="240" w:lineRule="auto"/>
        <w:ind w:left="363" w:hanging="79"/>
        <w:jc w:val="both"/>
        <w:rPr>
          <w:rFonts w:asciiTheme="majorBidi" w:hAnsiTheme="majorBidi" w:cstheme="majorBidi"/>
          <w:b/>
          <w:bCs/>
          <w:sz w:val="18"/>
          <w:szCs w:val="18"/>
          <w:rtl/>
        </w:rPr>
      </w:pPr>
      <w:r w:rsidRPr="00531B2C">
        <w:rPr>
          <w:rFonts w:asciiTheme="majorBidi" w:hAnsiTheme="majorBidi" w:cstheme="majorBidi"/>
          <w:b/>
          <w:bCs/>
          <w:sz w:val="18"/>
          <w:szCs w:val="18"/>
          <w:rtl/>
        </w:rPr>
        <w:t>محمد عبد الرؤوف المناوي، عالم الكتب، 1990م.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(صحيح البخاري مع شرحه فتح الباري)</w:t>
      </w:r>
    </w:p>
    <w:p w:rsidR="00531B2C" w:rsidRPr="00531B2C" w:rsidRDefault="00531B2C" w:rsidP="00531B2C">
      <w:pPr>
        <w:spacing w:after="120" w:line="240" w:lineRule="auto"/>
        <w:ind w:left="363" w:hanging="79"/>
        <w:jc w:val="both"/>
        <w:rPr>
          <w:rFonts w:asciiTheme="majorBidi" w:hAnsiTheme="majorBidi" w:cstheme="majorBidi"/>
          <w:b/>
          <w:bCs/>
          <w:sz w:val="18"/>
          <w:szCs w:val="18"/>
        </w:rPr>
      </w:pPr>
      <w:r w:rsidRPr="00531B2C">
        <w:rPr>
          <w:rFonts w:asciiTheme="majorBidi" w:hAnsiTheme="majorBidi" w:cstheme="majorBidi"/>
          <w:b/>
          <w:bCs/>
          <w:sz w:val="18"/>
          <w:szCs w:val="18"/>
          <w:rtl/>
        </w:rPr>
        <w:t>ابن حجر العسقلاني، دار الكتب العلمية، 1997م.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(العجاب في بيان الأسباب)</w:t>
      </w:r>
    </w:p>
    <w:p w:rsidR="00531B2C" w:rsidRPr="00531B2C" w:rsidRDefault="00531B2C" w:rsidP="00531B2C">
      <w:pPr>
        <w:spacing w:after="120" w:line="240" w:lineRule="auto"/>
        <w:ind w:left="363" w:hanging="79"/>
        <w:jc w:val="both"/>
        <w:rPr>
          <w:rFonts w:asciiTheme="majorBidi" w:hAnsiTheme="majorBidi" w:cstheme="majorBidi"/>
          <w:b/>
          <w:bCs/>
          <w:sz w:val="18"/>
          <w:szCs w:val="18"/>
          <w:rtl/>
        </w:rPr>
      </w:pPr>
      <w:r w:rsidRPr="00531B2C">
        <w:rPr>
          <w:rFonts w:asciiTheme="majorBidi" w:hAnsiTheme="majorBidi" w:cstheme="majorBidi"/>
          <w:b/>
          <w:bCs/>
          <w:sz w:val="18"/>
          <w:szCs w:val="18"/>
          <w:rtl/>
        </w:rPr>
        <w:t xml:space="preserve">ابن حجر العسقلاني، دار ابن الجوزي، 1997م. </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(فضائل القرآن)</w:t>
      </w:r>
    </w:p>
    <w:p w:rsidR="00531B2C" w:rsidRPr="00531B2C" w:rsidRDefault="00531B2C" w:rsidP="00531B2C">
      <w:pPr>
        <w:spacing w:after="120" w:line="240" w:lineRule="auto"/>
        <w:ind w:left="363" w:hanging="79"/>
        <w:jc w:val="both"/>
        <w:rPr>
          <w:rFonts w:asciiTheme="majorBidi" w:hAnsiTheme="majorBidi" w:cstheme="majorBidi"/>
          <w:b/>
          <w:bCs/>
          <w:sz w:val="18"/>
          <w:szCs w:val="18"/>
          <w:rtl/>
        </w:rPr>
      </w:pPr>
      <w:r w:rsidRPr="00531B2C">
        <w:rPr>
          <w:rFonts w:asciiTheme="majorBidi" w:hAnsiTheme="majorBidi" w:cstheme="majorBidi"/>
          <w:b/>
          <w:bCs/>
          <w:sz w:val="18"/>
          <w:szCs w:val="18"/>
          <w:rtl/>
        </w:rPr>
        <w:t>أحمد بن شعيب النسائي، مؤسسة الكتب الثقافية، 1985م.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(فيض القدير شرح الجامع الصغير)</w:t>
      </w:r>
    </w:p>
    <w:p w:rsidR="00531B2C" w:rsidRPr="00531B2C" w:rsidRDefault="00531B2C" w:rsidP="00531B2C">
      <w:pPr>
        <w:spacing w:after="120" w:line="240" w:lineRule="auto"/>
        <w:ind w:left="363" w:hanging="79"/>
        <w:jc w:val="both"/>
        <w:rPr>
          <w:rFonts w:asciiTheme="majorBidi" w:hAnsiTheme="majorBidi" w:cstheme="majorBidi"/>
          <w:b/>
          <w:bCs/>
          <w:sz w:val="18"/>
          <w:szCs w:val="18"/>
          <w:rtl/>
        </w:rPr>
      </w:pPr>
      <w:r w:rsidRPr="00531B2C">
        <w:rPr>
          <w:rFonts w:asciiTheme="majorBidi" w:hAnsiTheme="majorBidi" w:cstheme="majorBidi"/>
          <w:b/>
          <w:bCs/>
          <w:sz w:val="18"/>
          <w:szCs w:val="18"/>
          <w:rtl/>
        </w:rPr>
        <w:t>محمد بن عبد الرؤوف المناوي، دار المعرفة، 1980م.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(السبعة في القراءات)</w:t>
      </w:r>
    </w:p>
    <w:p w:rsidR="00531B2C" w:rsidRPr="00531B2C" w:rsidRDefault="00531B2C" w:rsidP="00531B2C">
      <w:pPr>
        <w:spacing w:after="120" w:line="240" w:lineRule="auto"/>
        <w:ind w:left="363" w:hanging="79"/>
        <w:jc w:val="both"/>
        <w:rPr>
          <w:rFonts w:asciiTheme="majorBidi" w:hAnsiTheme="majorBidi" w:cstheme="majorBidi"/>
          <w:b/>
          <w:bCs/>
          <w:sz w:val="18"/>
          <w:szCs w:val="18"/>
          <w:rtl/>
        </w:rPr>
      </w:pPr>
      <w:r w:rsidRPr="00531B2C">
        <w:rPr>
          <w:rFonts w:asciiTheme="majorBidi" w:hAnsiTheme="majorBidi" w:cstheme="majorBidi"/>
          <w:b/>
          <w:bCs/>
          <w:sz w:val="18"/>
          <w:szCs w:val="18"/>
          <w:rtl/>
        </w:rPr>
        <w:t>أحمد بن موسى بن مجاهد، دار المعارف، 1988م.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(لسان العرب)</w:t>
      </w:r>
    </w:p>
    <w:p w:rsidR="00531B2C" w:rsidRPr="00531B2C" w:rsidRDefault="00531B2C" w:rsidP="00531B2C">
      <w:pPr>
        <w:spacing w:after="120" w:line="240" w:lineRule="auto"/>
        <w:ind w:left="363" w:hanging="79"/>
        <w:jc w:val="both"/>
        <w:rPr>
          <w:rFonts w:asciiTheme="majorBidi" w:hAnsiTheme="majorBidi" w:cstheme="majorBidi"/>
          <w:b/>
          <w:bCs/>
          <w:sz w:val="18"/>
          <w:szCs w:val="18"/>
          <w:rtl/>
        </w:rPr>
      </w:pPr>
      <w:r w:rsidRPr="00531B2C">
        <w:rPr>
          <w:rFonts w:asciiTheme="majorBidi" w:hAnsiTheme="majorBidi" w:cstheme="majorBidi"/>
          <w:b/>
          <w:bCs/>
          <w:sz w:val="18"/>
          <w:szCs w:val="18"/>
          <w:rtl/>
        </w:rPr>
        <w:t>محمد بن مكرم بن منظور، طبعة دار إحياء التراث العربي، 1999م.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(مباحث في علوم القرآن)</w:t>
      </w:r>
    </w:p>
    <w:p w:rsidR="00531B2C" w:rsidRPr="00531B2C" w:rsidRDefault="00531B2C" w:rsidP="00531B2C">
      <w:pPr>
        <w:spacing w:after="120" w:line="240" w:lineRule="auto"/>
        <w:ind w:left="363" w:hanging="79"/>
        <w:jc w:val="both"/>
        <w:rPr>
          <w:rFonts w:asciiTheme="majorBidi" w:hAnsiTheme="majorBidi" w:cstheme="majorBidi"/>
          <w:b/>
          <w:bCs/>
          <w:sz w:val="18"/>
          <w:szCs w:val="18"/>
          <w:rtl/>
        </w:rPr>
      </w:pPr>
      <w:r w:rsidRPr="00531B2C">
        <w:rPr>
          <w:rFonts w:asciiTheme="majorBidi" w:hAnsiTheme="majorBidi" w:cstheme="majorBidi"/>
          <w:b/>
          <w:bCs/>
          <w:sz w:val="18"/>
          <w:szCs w:val="18"/>
          <w:rtl/>
        </w:rPr>
        <w:t>صبحي الصالح، دار العلم للملايين، 2002م.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lastRenderedPageBreak/>
        <w:t>(مباحث في علوم القرآن)</w:t>
      </w:r>
    </w:p>
    <w:p w:rsidR="00531B2C" w:rsidRPr="00531B2C" w:rsidRDefault="00531B2C" w:rsidP="00531B2C">
      <w:pPr>
        <w:spacing w:after="120" w:line="240" w:lineRule="auto"/>
        <w:ind w:left="363" w:hanging="79"/>
        <w:jc w:val="both"/>
        <w:rPr>
          <w:rFonts w:asciiTheme="majorBidi" w:hAnsiTheme="majorBidi" w:cstheme="majorBidi"/>
          <w:b/>
          <w:bCs/>
          <w:sz w:val="18"/>
          <w:szCs w:val="18"/>
          <w:rtl/>
        </w:rPr>
      </w:pPr>
      <w:r w:rsidRPr="00531B2C">
        <w:rPr>
          <w:rFonts w:asciiTheme="majorBidi" w:hAnsiTheme="majorBidi" w:cstheme="majorBidi"/>
          <w:b/>
          <w:bCs/>
          <w:sz w:val="18"/>
          <w:szCs w:val="18"/>
          <w:rtl/>
        </w:rPr>
        <w:t>مناع خليل القطان، مؤسسة الرسالة للطباعة والنشر والتوزيع، 2000م.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(المستدرك على الصحيحين)</w:t>
      </w:r>
    </w:p>
    <w:p w:rsidR="00531B2C" w:rsidRPr="00531B2C" w:rsidRDefault="00531B2C" w:rsidP="00531B2C">
      <w:pPr>
        <w:spacing w:after="120" w:line="240" w:lineRule="auto"/>
        <w:ind w:left="363" w:hanging="79"/>
        <w:jc w:val="both"/>
        <w:rPr>
          <w:rFonts w:asciiTheme="majorBidi" w:hAnsiTheme="majorBidi" w:cstheme="majorBidi"/>
          <w:b/>
          <w:bCs/>
          <w:sz w:val="18"/>
          <w:szCs w:val="18"/>
          <w:rtl/>
        </w:rPr>
      </w:pPr>
      <w:r w:rsidRPr="00531B2C">
        <w:rPr>
          <w:rFonts w:asciiTheme="majorBidi" w:hAnsiTheme="majorBidi" w:cstheme="majorBidi"/>
          <w:b/>
          <w:bCs/>
          <w:sz w:val="18"/>
          <w:szCs w:val="18"/>
          <w:rtl/>
        </w:rPr>
        <w:t>محمد بن عبد الله الحاكم النيسابوري، دار الكتب العلمية، 1990م.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(مناهل العرفان)</w:t>
      </w:r>
    </w:p>
    <w:p w:rsidR="00531B2C" w:rsidRPr="00531B2C" w:rsidRDefault="00531B2C" w:rsidP="00531B2C">
      <w:pPr>
        <w:spacing w:after="120" w:line="240" w:lineRule="auto"/>
        <w:ind w:left="363" w:hanging="79"/>
        <w:jc w:val="both"/>
        <w:rPr>
          <w:rFonts w:asciiTheme="majorBidi" w:hAnsiTheme="majorBidi" w:cstheme="majorBidi"/>
          <w:b/>
          <w:bCs/>
          <w:sz w:val="18"/>
          <w:szCs w:val="18"/>
        </w:rPr>
      </w:pPr>
      <w:r w:rsidRPr="00531B2C">
        <w:rPr>
          <w:rFonts w:asciiTheme="majorBidi" w:hAnsiTheme="majorBidi" w:cstheme="majorBidi"/>
          <w:b/>
          <w:bCs/>
          <w:sz w:val="18"/>
          <w:szCs w:val="18"/>
          <w:rtl/>
        </w:rPr>
        <w:t>محمد بن عبد العظيم الزرقاني، دار الكتب العلمية، 2003م.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(التبيان في تفسير غريب القرآن)</w:t>
      </w:r>
    </w:p>
    <w:p w:rsidR="00531B2C" w:rsidRPr="00531B2C" w:rsidRDefault="00531B2C" w:rsidP="00531B2C">
      <w:pPr>
        <w:spacing w:after="120" w:line="240" w:lineRule="auto"/>
        <w:ind w:left="363" w:hanging="79"/>
        <w:jc w:val="both"/>
        <w:rPr>
          <w:rFonts w:asciiTheme="majorBidi" w:hAnsiTheme="majorBidi" w:cstheme="majorBidi"/>
          <w:b/>
          <w:bCs/>
          <w:sz w:val="18"/>
          <w:szCs w:val="18"/>
          <w:rtl/>
        </w:rPr>
      </w:pPr>
      <w:r w:rsidRPr="00531B2C">
        <w:rPr>
          <w:rFonts w:asciiTheme="majorBidi" w:hAnsiTheme="majorBidi" w:cstheme="majorBidi"/>
          <w:b/>
          <w:bCs/>
          <w:sz w:val="18"/>
          <w:szCs w:val="18"/>
          <w:rtl/>
        </w:rPr>
        <w:t>شهاب الدين أحمد بن محمد الهائم المصري، المكتبة المحمودية، 1960م.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(دلائل الإعجاز)</w:t>
      </w:r>
    </w:p>
    <w:p w:rsidR="00531B2C" w:rsidRPr="00531B2C" w:rsidRDefault="00531B2C" w:rsidP="00531B2C">
      <w:pPr>
        <w:spacing w:after="120" w:line="240" w:lineRule="auto"/>
        <w:ind w:left="363" w:hanging="79"/>
        <w:jc w:val="both"/>
        <w:rPr>
          <w:rFonts w:asciiTheme="majorBidi" w:hAnsiTheme="majorBidi" w:cstheme="majorBidi"/>
          <w:b/>
          <w:bCs/>
          <w:sz w:val="18"/>
          <w:szCs w:val="18"/>
          <w:rtl/>
        </w:rPr>
      </w:pPr>
      <w:r w:rsidRPr="00531B2C">
        <w:rPr>
          <w:rFonts w:asciiTheme="majorBidi" w:hAnsiTheme="majorBidi" w:cstheme="majorBidi"/>
          <w:b/>
          <w:bCs/>
          <w:sz w:val="18"/>
          <w:szCs w:val="18"/>
          <w:rtl/>
        </w:rPr>
        <w:t>عبد القاهر الجرجاني، دار الكتب العلمية، 1988م.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(فهم القرآن)</w:t>
      </w:r>
    </w:p>
    <w:p w:rsidR="00531B2C" w:rsidRPr="00531B2C" w:rsidRDefault="00531B2C" w:rsidP="00531B2C">
      <w:pPr>
        <w:spacing w:after="120" w:line="240" w:lineRule="auto"/>
        <w:ind w:left="363" w:hanging="79"/>
        <w:jc w:val="both"/>
        <w:rPr>
          <w:rFonts w:asciiTheme="majorBidi" w:hAnsiTheme="majorBidi" w:cstheme="majorBidi"/>
          <w:b/>
          <w:bCs/>
          <w:sz w:val="18"/>
          <w:szCs w:val="18"/>
          <w:rtl/>
        </w:rPr>
      </w:pPr>
      <w:r w:rsidRPr="00531B2C">
        <w:rPr>
          <w:rFonts w:asciiTheme="majorBidi" w:hAnsiTheme="majorBidi" w:cstheme="majorBidi"/>
          <w:b/>
          <w:bCs/>
          <w:sz w:val="18"/>
          <w:szCs w:val="18"/>
          <w:rtl/>
        </w:rPr>
        <w:t>الحارث بن أسد المحاسبي، دار الكندي للطباعة والنشر، 1982م.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Pr>
      </w:pPr>
      <w:r w:rsidRPr="00531B2C">
        <w:rPr>
          <w:rFonts w:asciiTheme="majorBidi" w:hAnsiTheme="majorBidi" w:cstheme="majorBidi"/>
          <w:b/>
          <w:bCs/>
          <w:sz w:val="18"/>
          <w:szCs w:val="18"/>
          <w:rtl/>
        </w:rPr>
        <w:t>(نفائس البيان شرح الفرائد الحسان في عد آي القرآن)</w:t>
      </w:r>
    </w:p>
    <w:p w:rsidR="00531B2C" w:rsidRPr="00531B2C" w:rsidRDefault="00531B2C" w:rsidP="00531B2C">
      <w:pPr>
        <w:spacing w:after="120" w:line="240" w:lineRule="auto"/>
        <w:ind w:left="363" w:hanging="79"/>
        <w:jc w:val="lowKashida"/>
        <w:rPr>
          <w:rFonts w:asciiTheme="majorBidi" w:hAnsiTheme="majorBidi" w:cstheme="majorBidi"/>
          <w:b/>
          <w:bCs/>
          <w:sz w:val="18"/>
          <w:szCs w:val="18"/>
        </w:rPr>
      </w:pPr>
      <w:r w:rsidRPr="00531B2C">
        <w:rPr>
          <w:rFonts w:asciiTheme="majorBidi" w:hAnsiTheme="majorBidi" w:cstheme="majorBidi"/>
          <w:b/>
          <w:bCs/>
          <w:sz w:val="18"/>
          <w:szCs w:val="18"/>
          <w:rtl/>
        </w:rPr>
        <w:t>الشيخ عبد الفتاح القاضي، مطبعة عيسى البابي الحلبي، ١٣٥٥هـ.</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(الأصلان في علوم القرآن)</w:t>
      </w:r>
    </w:p>
    <w:p w:rsidR="00531B2C" w:rsidRPr="00531B2C" w:rsidRDefault="00531B2C" w:rsidP="00531B2C">
      <w:pPr>
        <w:spacing w:after="120" w:line="240" w:lineRule="auto"/>
        <w:ind w:left="363" w:hanging="79"/>
        <w:jc w:val="lowKashida"/>
        <w:rPr>
          <w:rFonts w:asciiTheme="majorBidi" w:hAnsiTheme="majorBidi" w:cstheme="majorBidi"/>
          <w:b/>
          <w:bCs/>
          <w:sz w:val="18"/>
          <w:szCs w:val="18"/>
        </w:rPr>
      </w:pPr>
      <w:r w:rsidRPr="00531B2C">
        <w:rPr>
          <w:rFonts w:asciiTheme="majorBidi" w:hAnsiTheme="majorBidi" w:cstheme="majorBidi"/>
          <w:b/>
          <w:bCs/>
          <w:sz w:val="18"/>
          <w:szCs w:val="18"/>
          <w:rtl/>
        </w:rPr>
        <w:t>محمد عبد المنعم القيعي، طبعة المكتبات الأزهرية، ١٩٨٠م.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Pr>
      </w:pPr>
      <w:r w:rsidRPr="00531B2C">
        <w:rPr>
          <w:rFonts w:asciiTheme="majorBidi" w:hAnsiTheme="majorBidi" w:cstheme="majorBidi"/>
          <w:b/>
          <w:bCs/>
          <w:sz w:val="18"/>
          <w:szCs w:val="18"/>
          <w:rtl/>
        </w:rPr>
        <w:t>(مختصر في قواعد التفسير)</w:t>
      </w:r>
    </w:p>
    <w:p w:rsidR="00531B2C" w:rsidRPr="00531B2C" w:rsidRDefault="00531B2C" w:rsidP="00531B2C">
      <w:pPr>
        <w:spacing w:after="120" w:line="240" w:lineRule="auto"/>
        <w:ind w:left="363" w:hanging="79"/>
        <w:jc w:val="lowKashida"/>
        <w:rPr>
          <w:rFonts w:asciiTheme="majorBidi" w:hAnsiTheme="majorBidi" w:cstheme="majorBidi"/>
          <w:b/>
          <w:bCs/>
          <w:sz w:val="18"/>
          <w:szCs w:val="18"/>
        </w:rPr>
      </w:pPr>
      <w:r w:rsidRPr="00531B2C">
        <w:rPr>
          <w:rFonts w:asciiTheme="majorBidi" w:hAnsiTheme="majorBidi" w:cstheme="majorBidi"/>
          <w:b/>
          <w:bCs/>
          <w:sz w:val="18"/>
          <w:szCs w:val="18"/>
          <w:rtl/>
        </w:rPr>
        <w:t>خالد السبت، مطبعة ابن الجوزي، ١٤٢٣هـ.</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Pr>
      </w:pPr>
      <w:r w:rsidRPr="00531B2C">
        <w:rPr>
          <w:rFonts w:asciiTheme="majorBidi" w:hAnsiTheme="majorBidi" w:cstheme="majorBidi"/>
          <w:b/>
          <w:bCs/>
          <w:sz w:val="18"/>
          <w:szCs w:val="18"/>
          <w:rtl/>
        </w:rPr>
        <w:t>(الصحيح المسند من أسباب النزول)</w:t>
      </w:r>
    </w:p>
    <w:p w:rsidR="00531B2C" w:rsidRPr="00531B2C" w:rsidRDefault="00531B2C" w:rsidP="00531B2C">
      <w:pPr>
        <w:spacing w:after="120" w:line="240" w:lineRule="auto"/>
        <w:ind w:left="363" w:hanging="79"/>
        <w:jc w:val="lowKashida"/>
        <w:rPr>
          <w:rFonts w:asciiTheme="majorBidi" w:hAnsiTheme="majorBidi" w:cstheme="majorBidi"/>
          <w:b/>
          <w:bCs/>
          <w:sz w:val="18"/>
          <w:szCs w:val="18"/>
          <w:rtl/>
        </w:rPr>
      </w:pPr>
      <w:r w:rsidRPr="00531B2C">
        <w:rPr>
          <w:rFonts w:asciiTheme="majorBidi" w:hAnsiTheme="majorBidi" w:cstheme="majorBidi"/>
          <w:b/>
          <w:bCs/>
          <w:sz w:val="18"/>
          <w:szCs w:val="18"/>
          <w:rtl/>
        </w:rPr>
        <w:t>مقبل بن هادي الوادعي، الرياض،  مكتبة المعارف، 1400هـ.</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(موسوعة فضائل سور وآيات القرآن)</w:t>
      </w:r>
    </w:p>
    <w:p w:rsidR="00531B2C" w:rsidRPr="00531B2C" w:rsidRDefault="00531B2C" w:rsidP="00531B2C">
      <w:pPr>
        <w:spacing w:after="120" w:line="240" w:lineRule="auto"/>
        <w:ind w:left="363" w:hanging="79"/>
        <w:jc w:val="lowKashida"/>
        <w:rPr>
          <w:rFonts w:asciiTheme="majorBidi" w:hAnsiTheme="majorBidi" w:cstheme="majorBidi"/>
          <w:b/>
          <w:bCs/>
          <w:sz w:val="18"/>
          <w:szCs w:val="18"/>
          <w:rtl/>
        </w:rPr>
      </w:pPr>
      <w:r w:rsidRPr="00531B2C">
        <w:rPr>
          <w:rFonts w:asciiTheme="majorBidi" w:hAnsiTheme="majorBidi" w:cstheme="majorBidi"/>
          <w:b/>
          <w:bCs/>
          <w:sz w:val="18"/>
          <w:szCs w:val="18"/>
          <w:rtl/>
        </w:rPr>
        <w:t>محمد بن رزق الطرهوني، مكتبة العلم، 1994م.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(سنن القرّاء ومناهج المجوّدين)</w:t>
      </w:r>
    </w:p>
    <w:p w:rsidR="00531B2C" w:rsidRPr="00531B2C" w:rsidRDefault="00531B2C" w:rsidP="00531B2C">
      <w:pPr>
        <w:spacing w:after="120" w:line="240" w:lineRule="auto"/>
        <w:ind w:left="363" w:hanging="79"/>
        <w:jc w:val="lowKashida"/>
        <w:rPr>
          <w:rFonts w:asciiTheme="majorBidi" w:hAnsiTheme="majorBidi" w:cstheme="majorBidi"/>
          <w:b/>
          <w:bCs/>
          <w:sz w:val="18"/>
          <w:szCs w:val="18"/>
        </w:rPr>
      </w:pPr>
      <w:r w:rsidRPr="00531B2C">
        <w:rPr>
          <w:rFonts w:asciiTheme="majorBidi" w:hAnsiTheme="majorBidi" w:cstheme="majorBidi"/>
          <w:b/>
          <w:bCs/>
          <w:sz w:val="18"/>
          <w:szCs w:val="18"/>
          <w:rtl/>
        </w:rPr>
        <w:t>عبد العزيز القارئ، مكتبة الدار للنشر والتوزيع، 2000م.</w:t>
      </w:r>
    </w:p>
    <w:p w:rsidR="00531B2C" w:rsidRPr="00531B2C" w:rsidRDefault="00531B2C" w:rsidP="00531B2C">
      <w:pPr>
        <w:widowControl w:val="0"/>
        <w:numPr>
          <w:ilvl w:val="0"/>
          <w:numId w:val="1"/>
        </w:numPr>
        <w:spacing w:after="120" w:line="240" w:lineRule="auto"/>
        <w:ind w:left="363"/>
        <w:jc w:val="both"/>
        <w:rPr>
          <w:rFonts w:asciiTheme="majorBidi" w:hAnsiTheme="majorBidi" w:cstheme="majorBidi"/>
          <w:b/>
          <w:bCs/>
          <w:sz w:val="18"/>
          <w:szCs w:val="18"/>
          <w:rtl/>
        </w:rPr>
      </w:pPr>
      <w:r w:rsidRPr="00531B2C">
        <w:rPr>
          <w:rFonts w:asciiTheme="majorBidi" w:hAnsiTheme="majorBidi" w:cstheme="majorBidi"/>
          <w:b/>
          <w:bCs/>
          <w:sz w:val="18"/>
          <w:szCs w:val="18"/>
          <w:rtl/>
        </w:rPr>
        <w:t>(النشر في القراءات العشر)</w:t>
      </w:r>
    </w:p>
    <w:p w:rsidR="00531B2C" w:rsidRPr="00531B2C" w:rsidRDefault="00531B2C" w:rsidP="00531B2C">
      <w:pPr>
        <w:pStyle w:val="ListParagraph"/>
        <w:spacing w:line="240" w:lineRule="auto"/>
        <w:ind w:left="373"/>
        <w:rPr>
          <w:rFonts w:asciiTheme="majorBidi" w:hAnsiTheme="majorBidi" w:cstheme="majorBidi"/>
          <w:b/>
          <w:bCs/>
          <w:sz w:val="18"/>
          <w:szCs w:val="18"/>
          <w:rtl/>
        </w:rPr>
      </w:pPr>
      <w:r w:rsidRPr="00531B2C">
        <w:rPr>
          <w:rFonts w:asciiTheme="majorBidi" w:hAnsiTheme="majorBidi" w:cstheme="majorBidi"/>
          <w:b/>
          <w:bCs/>
          <w:sz w:val="18"/>
          <w:szCs w:val="18"/>
          <w:rtl/>
        </w:rPr>
        <w:t>محمد بن الجزري، المكتبة التجارية الكبرى، 1970م.</w:t>
      </w:r>
    </w:p>
    <w:p w:rsidR="00531B2C" w:rsidRDefault="00531B2C" w:rsidP="00531B2C">
      <w:pPr>
        <w:rPr>
          <w:rFonts w:asciiTheme="majorBidi" w:hAnsiTheme="majorBidi" w:cstheme="majorBidi"/>
          <w:sz w:val="48"/>
          <w:szCs w:val="48"/>
          <w:rtl/>
          <w:lang w:bidi="ar-EG"/>
        </w:rPr>
        <w:sectPr w:rsidR="00531B2C" w:rsidSect="00531B2C">
          <w:type w:val="continuous"/>
          <w:pgSz w:w="11906" w:h="16838"/>
          <w:pgMar w:top="1440" w:right="1440" w:bottom="1440" w:left="1440" w:header="720" w:footer="720" w:gutter="0"/>
          <w:cols w:num="2" w:space="720"/>
          <w:bidi/>
          <w:rtlGutter/>
          <w:docGrid w:linePitch="360"/>
        </w:sectPr>
      </w:pPr>
    </w:p>
    <w:p w:rsidR="00531B2C" w:rsidRPr="00531B2C" w:rsidRDefault="00531B2C" w:rsidP="00531B2C">
      <w:pPr>
        <w:rPr>
          <w:rFonts w:asciiTheme="majorBidi" w:hAnsiTheme="majorBidi" w:cstheme="majorBidi"/>
          <w:sz w:val="48"/>
          <w:szCs w:val="48"/>
          <w:lang w:bidi="ar-EG"/>
        </w:rPr>
      </w:pPr>
    </w:p>
    <w:sectPr w:rsidR="00531B2C" w:rsidRPr="00531B2C" w:rsidSect="00531B2C">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Rasheeq Bold">
    <w:altName w:val="Times New Roman"/>
    <w:charset w:val="B2"/>
    <w:family w:val="auto"/>
    <w:pitch w:val="variable"/>
    <w:sig w:usb0="00002000"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E52BE"/>
    <w:multiLevelType w:val="hybridMultilevel"/>
    <w:tmpl w:val="2FA8B704"/>
    <w:lvl w:ilvl="0" w:tplc="1BB2DDB4">
      <w:start w:val="1"/>
      <w:numFmt w:val="bullet"/>
      <w:lvlText w:val=""/>
      <w:lvlJc w:val="center"/>
      <w:pPr>
        <w:ind w:left="1093" w:hanging="360"/>
      </w:pPr>
      <w:rPr>
        <w:rFonts w:ascii="Symbol" w:hAnsi="Symbol" w:cs="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1">
    <w:nsid w:val="4A461ED3"/>
    <w:multiLevelType w:val="hybridMultilevel"/>
    <w:tmpl w:val="893C6592"/>
    <w:lvl w:ilvl="0" w:tplc="94D654B6">
      <w:start w:val="1"/>
      <w:numFmt w:val="decimal"/>
      <w:lvlRestart w:val="0"/>
      <w:lvlText w:val="%1."/>
      <w:lvlJc w:val="left"/>
      <w:pPr>
        <w:tabs>
          <w:tab w:val="num" w:pos="369"/>
        </w:tabs>
        <w:ind w:left="1077" w:hanging="357"/>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2">
    <w:nsid w:val="5DD5013E"/>
    <w:multiLevelType w:val="hybridMultilevel"/>
    <w:tmpl w:val="BCB2A932"/>
    <w:lvl w:ilvl="0" w:tplc="DDAE06A2">
      <w:start w:val="1"/>
      <w:numFmt w:val="bullet"/>
      <w:lvlText w:val=""/>
      <w:lvlJc w:val="center"/>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531B2C"/>
    <w:rsid w:val="001905B1"/>
    <w:rsid w:val="00531B2C"/>
    <w:rsid w:val="005C15CC"/>
    <w:rsid w:val="00C906C3"/>
    <w:rsid w:val="00FD527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27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531B2C"/>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531B2C"/>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uiPriority w:val="34"/>
    <w:qFormat/>
    <w:rsid w:val="00531B2C"/>
    <w:pPr>
      <w:ind w:left="720"/>
      <w:contextualSpacing/>
    </w:pPr>
  </w:style>
  <w:style w:type="paragraph" w:customStyle="1" w:styleId="a">
    <w:name w:val="سرد الفقرات"/>
    <w:basedOn w:val="Normal"/>
    <w:qFormat/>
    <w:rsid w:val="00531B2C"/>
    <w:pPr>
      <w:ind w:left="720"/>
      <w:contextualSpacing/>
    </w:pPr>
    <w:rPr>
      <w:rFonts w:ascii="Calibri" w:eastAsia="Times New Roman" w:hAnsi="Calibri" w:cs="Arial"/>
    </w:rPr>
  </w:style>
  <w:style w:type="character" w:styleId="Hyperlink">
    <w:name w:val="Hyperlink"/>
    <w:basedOn w:val="DefaultParagraphFont"/>
    <w:rsid w:val="001905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tma.alsayed@mediu.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User</cp:lastModifiedBy>
  <cp:revision>2</cp:revision>
  <dcterms:created xsi:type="dcterms:W3CDTF">2013-06-06T09:46:00Z</dcterms:created>
  <dcterms:modified xsi:type="dcterms:W3CDTF">2013-06-24T10:52:00Z</dcterms:modified>
</cp:coreProperties>
</file>