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B1" w:rsidRPr="00BC7D57" w:rsidRDefault="00BC7D57" w:rsidP="00BC7D57">
      <w:pPr>
        <w:jc w:val="center"/>
        <w:rPr>
          <w:sz w:val="48"/>
          <w:szCs w:val="48"/>
          <w:rtl/>
        </w:rPr>
      </w:pPr>
      <w:r w:rsidRPr="00BC7D57">
        <w:rPr>
          <w:rFonts w:ascii="Calibri" w:eastAsia="Calibri" w:hAnsi="Calibri" w:cs="AGA Rasheeq Bold" w:hint="cs"/>
          <w:sz w:val="48"/>
          <w:szCs w:val="48"/>
          <w:rtl/>
        </w:rPr>
        <w:t>عيوب هذا النظام أو المآخذ عليه</w:t>
      </w:r>
    </w:p>
    <w:p w:rsidR="00BC7D57" w:rsidRPr="00BB1330" w:rsidRDefault="00BC7D57" w:rsidP="00BC7D57">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BC7D57" w:rsidRDefault="00BC7D57" w:rsidP="003E189A">
      <w:pPr>
        <w:pStyle w:val="Author"/>
        <w:bidi/>
        <w:rPr>
          <w:rFonts w:eastAsia="Times New Roman"/>
        </w:rPr>
      </w:pPr>
      <w:r>
        <w:rPr>
          <w:rFonts w:hint="cs"/>
          <w:i/>
          <w:iCs/>
          <w:rtl/>
        </w:rPr>
        <w:t xml:space="preserve">إعداد / </w:t>
      </w:r>
      <w:r w:rsidR="003E189A" w:rsidRPr="003E189A">
        <w:rPr>
          <w:i/>
          <w:iCs/>
          <w:rtl/>
        </w:rPr>
        <w:t>أيمن محمد أبو</w:t>
      </w:r>
      <w:r w:rsidR="003E189A" w:rsidRPr="003E189A">
        <w:rPr>
          <w:rFonts w:hint="cs"/>
          <w:i/>
          <w:iCs/>
          <w:rtl/>
        </w:rPr>
        <w:t xml:space="preserve"> </w:t>
      </w:r>
      <w:r w:rsidR="003E189A" w:rsidRPr="003E189A">
        <w:rPr>
          <w:i/>
          <w:iCs/>
          <w:rtl/>
        </w:rPr>
        <w:t>بكر</w:t>
      </w:r>
    </w:p>
    <w:p w:rsidR="00BC7D57" w:rsidRDefault="00BC7D57" w:rsidP="00BC7D57">
      <w:pPr>
        <w:pStyle w:val="Affiliation"/>
        <w:bidi/>
        <w:rPr>
          <w:rFonts w:eastAsia="Times New Roman"/>
        </w:rPr>
      </w:pPr>
      <w:r>
        <w:rPr>
          <w:rFonts w:hint="cs"/>
          <w:i/>
          <w:iCs/>
          <w:rtl/>
        </w:rPr>
        <w:t>قسم الدعوة وأصول الدين</w:t>
      </w:r>
    </w:p>
    <w:p w:rsidR="00BC7D57" w:rsidRDefault="00BC7D57" w:rsidP="00BC7D57">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BC7D57" w:rsidRDefault="00BC7D57" w:rsidP="00BC7D57">
      <w:pPr>
        <w:pStyle w:val="Affiliation"/>
        <w:bidi/>
        <w:rPr>
          <w:rtl/>
        </w:rPr>
      </w:pPr>
      <w:r>
        <w:rPr>
          <w:rFonts w:hint="cs"/>
          <w:rtl/>
        </w:rPr>
        <w:t>شاه علم - ماليزيا</w:t>
      </w:r>
    </w:p>
    <w:p w:rsidR="00BC7D57" w:rsidRDefault="003E189A" w:rsidP="00BC7D57">
      <w:pPr>
        <w:spacing w:line="240" w:lineRule="auto"/>
        <w:jc w:val="center"/>
        <w:rPr>
          <w:rFonts w:asciiTheme="majorBidi" w:hAnsiTheme="majorBidi" w:cstheme="majorBidi"/>
          <w:b/>
          <w:bCs/>
          <w:sz w:val="18"/>
          <w:szCs w:val="18"/>
          <w:rtl/>
          <w:lang w:bidi="ar-EG"/>
        </w:rPr>
      </w:pPr>
      <w:r w:rsidRPr="003E189A">
        <w:rPr>
          <w:rFonts w:ascii="Times New Roman" w:eastAsia="SimSun" w:hAnsi="Times New Roman" w:cs="Times New Roman"/>
          <w:i/>
          <w:iCs/>
          <w:sz w:val="20"/>
          <w:szCs w:val="20"/>
          <w:lang w:eastAsia="zh-CN" w:bidi="ar-EG"/>
        </w:rPr>
        <w:t>ayman.abobakr@mediu.ws</w:t>
      </w:r>
    </w:p>
    <w:p w:rsidR="00BC7D57" w:rsidRDefault="00BC7D57" w:rsidP="00BC7D57">
      <w:pPr>
        <w:pStyle w:val="a3"/>
        <w:jc w:val="right"/>
        <w:rPr>
          <w:rFonts w:asciiTheme="majorBidi" w:hAnsiTheme="majorBidi" w:cstheme="majorBidi"/>
          <w:b/>
          <w:bCs/>
          <w:sz w:val="18"/>
          <w:szCs w:val="18"/>
          <w:rtl/>
        </w:rPr>
        <w:sectPr w:rsidR="00BC7D57" w:rsidSect="007E639D">
          <w:pgSz w:w="11906" w:h="16838"/>
          <w:pgMar w:top="1440" w:right="1440" w:bottom="1440" w:left="1440" w:header="720" w:footer="720" w:gutter="0"/>
          <w:cols w:space="720"/>
          <w:bidi/>
          <w:rtlGutter/>
          <w:docGrid w:linePitch="360"/>
        </w:sectPr>
      </w:pPr>
    </w:p>
    <w:p w:rsidR="00BC7D57" w:rsidRPr="00BC7D57" w:rsidRDefault="00BC7D57" w:rsidP="005B08E4">
      <w:pPr>
        <w:pStyle w:val="a3"/>
        <w:jc w:val="right"/>
        <w:rPr>
          <w:rFonts w:asciiTheme="majorBidi" w:hAnsiTheme="majorBidi" w:cstheme="majorBidi"/>
          <w:b/>
          <w:bCs/>
          <w:sz w:val="18"/>
          <w:szCs w:val="18"/>
          <w:rtl/>
        </w:rPr>
      </w:pPr>
      <w:r w:rsidRPr="00BC7D57">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عيوب هذا النظام أو المآخذ عليه</w:t>
      </w:r>
      <w:r w:rsidRPr="00BC7D57">
        <w:rPr>
          <w:rFonts w:asciiTheme="majorBidi" w:hAnsiTheme="majorBidi" w:cstheme="majorBidi"/>
          <w:b/>
          <w:bCs/>
          <w:sz w:val="18"/>
          <w:szCs w:val="18"/>
        </w:rPr>
        <w:br/>
      </w:r>
      <w:r w:rsidRPr="00BC7D57">
        <w:rPr>
          <w:rFonts w:asciiTheme="majorBidi" w:hAnsiTheme="majorBidi" w:cstheme="majorBidi"/>
          <w:b/>
          <w:bCs/>
          <w:sz w:val="18"/>
          <w:szCs w:val="18"/>
          <w:rtl/>
        </w:rPr>
        <w:t xml:space="preserve">الكلمات المفتاحية – </w:t>
      </w:r>
      <w:r w:rsidR="005B08E4">
        <w:rPr>
          <w:rFonts w:asciiTheme="majorBidi" w:hAnsiTheme="majorBidi" w:cstheme="majorBidi" w:hint="cs"/>
          <w:b/>
          <w:bCs/>
          <w:sz w:val="18"/>
          <w:szCs w:val="18"/>
          <w:rtl/>
        </w:rPr>
        <w:t xml:space="preserve">المدى </w:t>
      </w:r>
      <w:r w:rsidRPr="00BC7D57">
        <w:rPr>
          <w:rFonts w:asciiTheme="majorBidi" w:hAnsiTheme="majorBidi" w:cstheme="majorBidi"/>
          <w:b/>
          <w:bCs/>
          <w:sz w:val="18"/>
          <w:szCs w:val="18"/>
          <w:rtl/>
        </w:rPr>
        <w:t xml:space="preserve">، </w:t>
      </w:r>
      <w:r w:rsidR="005B08E4">
        <w:rPr>
          <w:rFonts w:asciiTheme="majorBidi" w:hAnsiTheme="majorBidi" w:cstheme="majorBidi" w:hint="cs"/>
          <w:b/>
          <w:bCs/>
          <w:sz w:val="18"/>
          <w:szCs w:val="18"/>
          <w:rtl/>
        </w:rPr>
        <w:t>التقريب</w:t>
      </w:r>
      <w:r w:rsidRPr="00BC7D57">
        <w:rPr>
          <w:rFonts w:asciiTheme="majorBidi" w:hAnsiTheme="majorBidi" w:cstheme="majorBidi"/>
          <w:b/>
          <w:bCs/>
          <w:sz w:val="18"/>
          <w:szCs w:val="18"/>
          <w:rtl/>
        </w:rPr>
        <w:t xml:space="preserve"> ، </w:t>
      </w:r>
      <w:r w:rsidR="005B08E4">
        <w:rPr>
          <w:rFonts w:asciiTheme="majorBidi" w:hAnsiTheme="majorBidi" w:cstheme="majorBidi" w:hint="cs"/>
          <w:b/>
          <w:bCs/>
          <w:sz w:val="18"/>
          <w:szCs w:val="18"/>
          <w:rtl/>
        </w:rPr>
        <w:t>الكمال</w:t>
      </w:r>
      <w:r w:rsidRPr="00BC7D57">
        <w:rPr>
          <w:rFonts w:asciiTheme="majorBidi" w:hAnsiTheme="majorBidi" w:cstheme="majorBidi"/>
          <w:b/>
          <w:bCs/>
          <w:sz w:val="18"/>
          <w:szCs w:val="18"/>
          <w:rtl/>
        </w:rPr>
        <w:t xml:space="preserve"> </w:t>
      </w:r>
    </w:p>
    <w:p w:rsidR="00BC7D57" w:rsidRPr="00BC7D57" w:rsidRDefault="00BC7D57" w:rsidP="00BC7D57">
      <w:pPr>
        <w:pStyle w:val="a3"/>
        <w:jc w:val="center"/>
        <w:rPr>
          <w:rFonts w:asciiTheme="majorBidi" w:hAnsiTheme="majorBidi" w:cstheme="majorBidi"/>
          <w:b/>
          <w:bCs/>
          <w:sz w:val="18"/>
          <w:szCs w:val="18"/>
          <w:lang w:bidi="ar-EG"/>
        </w:rPr>
      </w:pPr>
      <w:r w:rsidRPr="00BC7D57">
        <w:rPr>
          <w:rFonts w:asciiTheme="majorBidi" w:hAnsiTheme="majorBidi" w:cstheme="majorBidi"/>
          <w:b/>
          <w:bCs/>
          <w:sz w:val="18"/>
          <w:szCs w:val="18"/>
          <w:rtl/>
        </w:rPr>
        <w:t>المقدمة</w:t>
      </w:r>
      <w:r w:rsidRPr="00BC7D57">
        <w:rPr>
          <w:rFonts w:asciiTheme="majorBidi" w:hAnsiTheme="majorBidi" w:cstheme="majorBidi"/>
          <w:b/>
          <w:bCs/>
          <w:sz w:val="18"/>
          <w:szCs w:val="18"/>
          <w:lang w:bidi="ar-EG"/>
        </w:rPr>
        <w:t>.I</w:t>
      </w:r>
    </w:p>
    <w:p w:rsidR="00BC7D57" w:rsidRPr="00BC7D57" w:rsidRDefault="00BC7D57" w:rsidP="00BC7D57">
      <w:pPr>
        <w:pStyle w:val="a3"/>
        <w:jc w:val="right"/>
        <w:rPr>
          <w:rFonts w:asciiTheme="majorBidi" w:hAnsiTheme="majorBidi" w:cstheme="majorBidi"/>
          <w:b/>
          <w:bCs/>
          <w:sz w:val="18"/>
          <w:szCs w:val="18"/>
          <w:rtl/>
        </w:rPr>
      </w:pPr>
      <w:r w:rsidRPr="00BC7D57">
        <w:rPr>
          <w:rFonts w:asciiTheme="majorBidi" w:hAnsiTheme="majorBidi" w:cstheme="majorBidi"/>
          <w:b/>
          <w:bCs/>
          <w:sz w:val="18"/>
          <w:szCs w:val="18"/>
        </w:rPr>
        <w:br/>
      </w:r>
      <w:r w:rsidRPr="00BC7D57">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عيوب هذا النظام أو المآخذ عليه</w:t>
      </w:r>
    </w:p>
    <w:p w:rsidR="00BC7D57" w:rsidRPr="00BC7D57" w:rsidRDefault="00BC7D57" w:rsidP="00BC7D57">
      <w:pPr>
        <w:pStyle w:val="a3"/>
        <w:jc w:val="center"/>
        <w:rPr>
          <w:rFonts w:asciiTheme="majorBidi" w:hAnsiTheme="majorBidi" w:cstheme="majorBidi"/>
          <w:b/>
          <w:bCs/>
          <w:sz w:val="18"/>
          <w:szCs w:val="18"/>
        </w:rPr>
      </w:pPr>
      <w:r w:rsidRPr="00BC7D57">
        <w:rPr>
          <w:rFonts w:asciiTheme="majorBidi" w:hAnsiTheme="majorBidi" w:cstheme="majorBidi"/>
          <w:b/>
          <w:bCs/>
          <w:sz w:val="18"/>
          <w:szCs w:val="18"/>
        </w:rPr>
        <w:br/>
      </w:r>
      <w:r w:rsidRPr="00BC7D57">
        <w:rPr>
          <w:rFonts w:asciiTheme="majorBidi" w:hAnsiTheme="majorBidi" w:cstheme="majorBidi"/>
          <w:b/>
          <w:bCs/>
          <w:sz w:val="18"/>
          <w:szCs w:val="18"/>
          <w:rtl/>
        </w:rPr>
        <w:t>.عنوان المقال</w:t>
      </w:r>
      <w:r w:rsidRPr="00BC7D57">
        <w:rPr>
          <w:rFonts w:asciiTheme="majorBidi" w:hAnsiTheme="majorBidi" w:cstheme="majorBidi"/>
          <w:b/>
          <w:bCs/>
          <w:sz w:val="18"/>
          <w:szCs w:val="18"/>
        </w:rPr>
        <w:t>II</w:t>
      </w:r>
    </w:p>
    <w:p w:rsidR="00BC7D57" w:rsidRPr="00BC7D57" w:rsidRDefault="00BC7D57" w:rsidP="00BC7D57">
      <w:pPr>
        <w:pStyle w:val="a3"/>
        <w:bidi/>
        <w:spacing w:before="0" w:beforeAutospacing="0" w:after="120" w:afterAutospacing="0"/>
        <w:jc w:val="lowKashida"/>
        <w:rPr>
          <w:rFonts w:asciiTheme="majorBidi" w:hAnsiTheme="majorBidi" w:cstheme="majorBidi"/>
          <w:b/>
          <w:bCs/>
          <w:sz w:val="18"/>
          <w:szCs w:val="18"/>
        </w:rPr>
      </w:pPr>
      <w:r w:rsidRPr="00BC7D57">
        <w:rPr>
          <w:rFonts w:asciiTheme="majorBidi" w:hAnsiTheme="majorBidi" w:cstheme="majorBidi"/>
          <w:b/>
          <w:bCs/>
          <w:sz w:val="18"/>
          <w:szCs w:val="18"/>
          <w:rtl/>
        </w:rPr>
        <w:t xml:space="preserve">فيمكن أن يؤخذ على هذا النظام الآتي: </w:t>
      </w:r>
    </w:p>
    <w:p w:rsidR="00BC7D57" w:rsidRPr="00BC7D57" w:rsidRDefault="00BC7D57" w:rsidP="00BC7D57">
      <w:pPr>
        <w:pStyle w:val="a3"/>
        <w:bidi/>
        <w:spacing w:before="0" w:beforeAutospacing="0" w:after="120" w:afterAutospacing="0"/>
        <w:jc w:val="lowKashida"/>
        <w:rPr>
          <w:rFonts w:asciiTheme="majorBidi" w:hAnsiTheme="majorBidi" w:cstheme="majorBidi"/>
          <w:b/>
          <w:bCs/>
          <w:sz w:val="18"/>
          <w:szCs w:val="18"/>
        </w:rPr>
      </w:pPr>
      <w:r w:rsidRPr="00BC7D57">
        <w:rPr>
          <w:rFonts w:asciiTheme="majorBidi" w:hAnsiTheme="majorBidi" w:cstheme="majorBidi"/>
          <w:b/>
          <w:bCs/>
          <w:sz w:val="18"/>
          <w:szCs w:val="18"/>
          <w:rtl/>
        </w:rPr>
        <w:t xml:space="preserve">أولًا: المدى الزمني للطبقات التقريب واسع جدًّا يتعدَّى ثمانين سنة في عدد الطبقات، وهذه المدة تعدل أربع طبقات بالتمام والكمال، وأضيق الطبقات مدًى هي الطبقة الثامنة؛ فمداها خمس وثلاثون سنة، وهي مع ذلك سميكة. </w:t>
      </w:r>
    </w:p>
    <w:p w:rsidR="00BC7D57" w:rsidRPr="00BC7D57" w:rsidRDefault="00BC7D57" w:rsidP="00BC7D57">
      <w:pPr>
        <w:pStyle w:val="a3"/>
        <w:bidi/>
        <w:spacing w:before="0" w:beforeAutospacing="0" w:after="120" w:afterAutospacing="0"/>
        <w:jc w:val="lowKashida"/>
        <w:rPr>
          <w:rFonts w:asciiTheme="majorBidi" w:hAnsiTheme="majorBidi" w:cstheme="majorBidi"/>
          <w:b/>
          <w:bCs/>
          <w:sz w:val="18"/>
          <w:szCs w:val="18"/>
        </w:rPr>
      </w:pPr>
      <w:r w:rsidRPr="00BC7D57">
        <w:rPr>
          <w:rFonts w:asciiTheme="majorBidi" w:hAnsiTheme="majorBidi" w:cstheme="majorBidi"/>
          <w:b/>
          <w:bCs/>
          <w:sz w:val="18"/>
          <w:szCs w:val="18"/>
          <w:rtl/>
        </w:rPr>
        <w:t>ثانيًا: اعتمد المصنف عاملًا زمنيًّا واحدًا لتقدير طبقة الراوي، هو تقدم طبقة شيوخه، أو علو إسناده، وأعرض عن سائر عوامل الزمنية الضرورية لتحديد الطبقة، كتاريخ ولادة الراوي، وتقدم وفاته، أو تأخرها، وتقدمه في طلب العلم أو تأخره، وقلما حسب حسابها؛ لذا وقع في تطبيقه اضطراب كثير، ومخالفة للمتقدمين.</w:t>
      </w:r>
    </w:p>
    <w:p w:rsidR="00BC7D57" w:rsidRPr="00BC7D57" w:rsidRDefault="00BC7D57" w:rsidP="00BC7D57">
      <w:pPr>
        <w:pStyle w:val="a3"/>
        <w:bidi/>
        <w:spacing w:before="0" w:beforeAutospacing="0" w:after="120" w:afterAutospacing="0"/>
        <w:jc w:val="lowKashida"/>
        <w:rPr>
          <w:rFonts w:asciiTheme="majorBidi" w:hAnsiTheme="majorBidi" w:cstheme="majorBidi"/>
          <w:b/>
          <w:bCs/>
          <w:sz w:val="18"/>
          <w:szCs w:val="18"/>
        </w:rPr>
      </w:pPr>
      <w:r w:rsidRPr="00BC7D57">
        <w:rPr>
          <w:rFonts w:asciiTheme="majorBidi" w:hAnsiTheme="majorBidi" w:cstheme="majorBidi"/>
          <w:b/>
          <w:bCs/>
          <w:sz w:val="18"/>
          <w:szCs w:val="18"/>
          <w:rtl/>
        </w:rPr>
        <w:t>ثالثًا: طلب ابن حجر في مسألة رؤية الصحابي، فقد عدَّ الأعمش، ويحيى بن أبي كثير، وأيوب السختياني في الخامسة أصاغر التابعين، وعدَّ عبد الله بن عون وقُرة بن خالد في السادسة، وحالهم في التابعية واحد، كلهم رأوا أنسًا ولم يسمعوا منه. وقدمنا أنه عد ابن إسحاق في صغار الخامسة، وعدّ أبا حنيفة في السادسة وسنهما متقارب، وحالهما واحد كلاهما رأى أن أنسًا وهو صغير.</w:t>
      </w:r>
    </w:p>
    <w:p w:rsidR="00BC7D57" w:rsidRPr="00BC7D57" w:rsidRDefault="00BC7D57" w:rsidP="00BC7D57">
      <w:pPr>
        <w:pStyle w:val="a3"/>
        <w:bidi/>
        <w:spacing w:before="0" w:beforeAutospacing="0" w:after="120" w:afterAutospacing="0"/>
        <w:jc w:val="lowKashida"/>
        <w:rPr>
          <w:rFonts w:asciiTheme="majorBidi" w:hAnsiTheme="majorBidi" w:cstheme="majorBidi"/>
          <w:b/>
          <w:bCs/>
          <w:sz w:val="18"/>
          <w:szCs w:val="18"/>
        </w:rPr>
      </w:pPr>
      <w:r w:rsidRPr="00BC7D57">
        <w:rPr>
          <w:rFonts w:asciiTheme="majorBidi" w:hAnsiTheme="majorBidi" w:cstheme="majorBidi"/>
          <w:b/>
          <w:bCs/>
          <w:sz w:val="18"/>
          <w:szCs w:val="18"/>
          <w:rtl/>
        </w:rPr>
        <w:t>رابعًا: تمتاز الطبقة الخامسة عنده بشافيتها وضحالة حدها، رغم اتساع مداها الزمني الهائل؛ فقد عرف الخامسة بأنهم الذين رأوا الواحد والاثنين من الصحابة، أو رأوا الصحابي؛ فلم يسمعوا منه غير أن كثيرًا ممن عده من الرابعة ينطبق عليهم هذا الشرط كسليمان التيمي، وعاصم الأحول.</w:t>
      </w:r>
    </w:p>
    <w:p w:rsidR="00BC7D57" w:rsidRPr="00BC7D57" w:rsidRDefault="00BC7D57" w:rsidP="00BC7D57">
      <w:pPr>
        <w:pStyle w:val="a3"/>
        <w:bidi/>
        <w:spacing w:before="0" w:beforeAutospacing="0" w:after="120" w:afterAutospacing="0"/>
        <w:jc w:val="lowKashida"/>
        <w:rPr>
          <w:rFonts w:asciiTheme="majorBidi" w:hAnsiTheme="majorBidi" w:cstheme="majorBidi"/>
          <w:b/>
          <w:bCs/>
          <w:sz w:val="18"/>
          <w:szCs w:val="18"/>
        </w:rPr>
      </w:pPr>
      <w:r w:rsidRPr="00BC7D57">
        <w:rPr>
          <w:rFonts w:asciiTheme="majorBidi" w:hAnsiTheme="majorBidi" w:cstheme="majorBidi"/>
          <w:b/>
          <w:bCs/>
          <w:sz w:val="18"/>
          <w:szCs w:val="18"/>
          <w:rtl/>
        </w:rPr>
        <w:t>خامسًا: تقديم كثير من الرواة عن طبقتهم الحقيقية؛ فقد عدَّ سليمان بن موسى من الخامسة، والصحيح أنه من السادسة، فقد ذكر ابن حجر نفسُهُ أن سليمان بن موسى لم يدرك أحدًا من الصحابة، وذكر بن المبارك والوليد بن مسلم من الثامنة، والصحيح أنهما من التاسعة، وقد وذكر في التاسعة رُواة أسنَّ منهما، وأقدم سماعًا كيحيى بن سعيد الأموي الكوفي، وعدَّ روح بن قاسم في السادسة، والصحيح أنه من صغار السابعة، وإن كان قد أدرك الصحابة بسنة؛ فإنه تأخر في السماع جدًّا، وكثير من شيوخه هم من شيوخ الطبقة الثامنة.</w:t>
      </w:r>
    </w:p>
    <w:p w:rsidR="00BC7D57" w:rsidRPr="00BC7D57" w:rsidRDefault="00BC7D57" w:rsidP="00BC7D57">
      <w:pPr>
        <w:pStyle w:val="a3"/>
        <w:bidi/>
        <w:spacing w:before="0" w:beforeAutospacing="0" w:after="120" w:afterAutospacing="0"/>
        <w:jc w:val="lowKashida"/>
        <w:rPr>
          <w:rFonts w:asciiTheme="majorBidi" w:hAnsiTheme="majorBidi" w:cstheme="majorBidi"/>
          <w:b/>
          <w:bCs/>
          <w:sz w:val="18"/>
          <w:szCs w:val="18"/>
        </w:rPr>
      </w:pPr>
      <w:r w:rsidRPr="00BC7D57">
        <w:rPr>
          <w:rFonts w:asciiTheme="majorBidi" w:hAnsiTheme="majorBidi" w:cstheme="majorBidi"/>
          <w:b/>
          <w:bCs/>
          <w:sz w:val="18"/>
          <w:szCs w:val="18"/>
          <w:rtl/>
        </w:rPr>
        <w:t>سادسًا: تأخير كثير من الرواة عن الطبقة التي ينتمون إليها، فقد ذكر أبا اليمان في كبار العاشرة، وقد سمع من حريز بن عثمان وهو تابعي صغير، فينبغي أن يُعدّ في أصاغر التاسعة، وعدَّ حماد بن سلمة في كبار الثامنة، والأصح أنه من كبار السابعة، فهو أسن وأقدم سماعًا من مالك والثوري وأكثر أهل الطبقة.</w:t>
      </w:r>
    </w:p>
    <w:p w:rsidR="00BC7D57" w:rsidRPr="00BC7D57" w:rsidRDefault="00BC7D57" w:rsidP="00BC7D57">
      <w:pPr>
        <w:pStyle w:val="a3"/>
        <w:bidi/>
        <w:spacing w:before="0" w:beforeAutospacing="0" w:after="120" w:afterAutospacing="0"/>
        <w:jc w:val="lowKashida"/>
        <w:rPr>
          <w:rFonts w:asciiTheme="majorBidi" w:hAnsiTheme="majorBidi" w:cstheme="majorBidi"/>
          <w:b/>
          <w:bCs/>
          <w:sz w:val="18"/>
          <w:szCs w:val="18"/>
        </w:rPr>
      </w:pPr>
      <w:r w:rsidRPr="00BC7D57">
        <w:rPr>
          <w:rFonts w:asciiTheme="majorBidi" w:hAnsiTheme="majorBidi" w:cstheme="majorBidi"/>
          <w:b/>
          <w:bCs/>
          <w:sz w:val="18"/>
          <w:szCs w:val="18"/>
          <w:rtl/>
        </w:rPr>
        <w:lastRenderedPageBreak/>
        <w:t xml:space="preserve">سابعًا: الاضطراب في تعيين طبقة الأقران، فقد ذكر حفص بن غياث وعبد الله بن إدريس في الثامنة، ثم جعل أبا معاوية محمد بن خازم الضرير وأحمد بن سعيد الأموي في التاسعة، وهم جميعًا طبقة واحدة، بل الأولان أسنّ من الأخرين. </w:t>
      </w:r>
    </w:p>
    <w:p w:rsidR="00BC7D57" w:rsidRPr="00BC7D57" w:rsidRDefault="00BC7D57" w:rsidP="00BC7D57">
      <w:pPr>
        <w:pStyle w:val="a3"/>
        <w:bidi/>
        <w:spacing w:before="0" w:beforeAutospacing="0" w:after="120" w:afterAutospacing="0"/>
        <w:jc w:val="lowKashida"/>
        <w:rPr>
          <w:rFonts w:asciiTheme="majorBidi" w:hAnsiTheme="majorBidi" w:cstheme="majorBidi"/>
          <w:b/>
          <w:bCs/>
          <w:sz w:val="18"/>
          <w:szCs w:val="18"/>
        </w:rPr>
      </w:pPr>
      <w:r w:rsidRPr="00BC7D57">
        <w:rPr>
          <w:rFonts w:asciiTheme="majorBidi" w:hAnsiTheme="majorBidi" w:cstheme="majorBidi"/>
          <w:b/>
          <w:bCs/>
          <w:sz w:val="18"/>
          <w:szCs w:val="18"/>
          <w:rtl/>
        </w:rPr>
        <w:t>ثامنًا: ليس من السهل أبدًا فهم معايير الحافظ ابن حجر في تحديد طبقة الرواة، فكم من رجل ظننته في طبقة ما لِمَا أعرفه عن شيوخه، وأصحابه، وتاريخه، والقائل هو صاحب كتاب (علم طبقات الرجال)، فأفاجأ به في طبقة أخرى قبلها أو بعدها كرشدين بن سعد، فإنه من أواسط الثامنة؛ بل إنه كثير النزول، والرواية عن متأخري الوفاة من السابعة، فلما راجعت ترجمته؛ وجدته ذكره في السابعة.</w:t>
      </w:r>
    </w:p>
    <w:p w:rsidR="00BC7D57" w:rsidRPr="00BC7D57" w:rsidRDefault="00BC7D57" w:rsidP="00BC7D57">
      <w:pPr>
        <w:pStyle w:val="a3"/>
        <w:bidi/>
        <w:spacing w:before="0" w:beforeAutospacing="0" w:after="120" w:afterAutospacing="0"/>
        <w:jc w:val="lowKashida"/>
        <w:rPr>
          <w:rFonts w:asciiTheme="majorBidi" w:hAnsiTheme="majorBidi" w:cstheme="majorBidi"/>
          <w:b/>
          <w:bCs/>
          <w:sz w:val="18"/>
          <w:szCs w:val="18"/>
        </w:rPr>
      </w:pPr>
      <w:r w:rsidRPr="00BC7D57">
        <w:rPr>
          <w:rFonts w:asciiTheme="majorBidi" w:hAnsiTheme="majorBidi" w:cstheme="majorBidi"/>
          <w:b/>
          <w:bCs/>
          <w:sz w:val="18"/>
          <w:szCs w:val="18"/>
          <w:rtl/>
        </w:rPr>
        <w:t xml:space="preserve">وخلاصة الأمر: أنه لا يمكن غالبًا تقدير طبقة الراوي عنده دون الرجوع لكتابه؛ لذا ليس من السهل أبدًا تقدير هذا النظام واستخدامه لتقدير طبقة راوٍ من القرون الثلاثة الأولى من غير رجال (التقريب). </w:t>
      </w:r>
    </w:p>
    <w:p w:rsidR="00BC7D57" w:rsidRPr="00BC7D57" w:rsidRDefault="00BC7D57" w:rsidP="005B08E4">
      <w:pPr>
        <w:pStyle w:val="a3"/>
        <w:bidi/>
        <w:spacing w:before="0" w:beforeAutospacing="0" w:after="120" w:afterAutospacing="0"/>
        <w:jc w:val="lowKashida"/>
        <w:rPr>
          <w:rFonts w:asciiTheme="majorBidi" w:hAnsiTheme="majorBidi" w:cstheme="majorBidi"/>
          <w:b/>
          <w:bCs/>
          <w:sz w:val="18"/>
          <w:szCs w:val="18"/>
        </w:rPr>
      </w:pPr>
      <w:r w:rsidRPr="00BC7D57">
        <w:rPr>
          <w:rFonts w:asciiTheme="majorBidi" w:hAnsiTheme="majorBidi" w:cstheme="majorBidi"/>
          <w:b/>
          <w:bCs/>
          <w:sz w:val="18"/>
          <w:szCs w:val="18"/>
          <w:rtl/>
        </w:rPr>
        <w:t>سكت الحافظ عن تعيين طبقة عدد من الرواة كطارق بن شهاب قد اكتفى بذكر رؤيته النبي  ولم ينص بصراحة على صحبته، وكذلك تخلَّص من ذكر طبقة عددٍ ممن لهم رؤية، وحديث هؤلاء عن النبي  مرسل، وهم من الثانية بلا شكّ، وسكت عن تعيين طبقة مسلم بن حجاج ومحمد بن يزيد بن ماجه، وقد بيّنّا أن مسلمًا من أصاغر الحادية عشرة، أما ابن ماجه فمن الثانية عشرة.</w:t>
      </w:r>
    </w:p>
    <w:p w:rsidR="00BC7D57" w:rsidRPr="00BC7D57" w:rsidRDefault="00BC7D57" w:rsidP="00BC7D57">
      <w:pPr>
        <w:pStyle w:val="a3"/>
        <w:bidi/>
        <w:spacing w:before="0" w:beforeAutospacing="0" w:after="120" w:afterAutospacing="0"/>
        <w:jc w:val="lowKashida"/>
        <w:rPr>
          <w:rFonts w:asciiTheme="majorBidi" w:hAnsiTheme="majorBidi" w:cstheme="majorBidi"/>
          <w:b/>
          <w:bCs/>
          <w:sz w:val="18"/>
          <w:szCs w:val="18"/>
        </w:rPr>
      </w:pPr>
      <w:r w:rsidRPr="00BC7D57">
        <w:rPr>
          <w:rFonts w:asciiTheme="majorBidi" w:hAnsiTheme="majorBidi" w:cstheme="majorBidi"/>
          <w:b/>
          <w:bCs/>
          <w:sz w:val="18"/>
          <w:szCs w:val="18"/>
          <w:rtl/>
        </w:rPr>
        <w:t xml:space="preserve">حشر ابن حجر في الطبقة الثانية عشرة من يصغر عنها، بل من مات بعد أكثر أفرادها بقرن كامل، وفي هذا ما فيه. </w:t>
      </w:r>
    </w:p>
    <w:p w:rsidR="00BC7D57" w:rsidRPr="00BC7D57" w:rsidRDefault="00BC7D57" w:rsidP="00BC7D57">
      <w:pPr>
        <w:pStyle w:val="a3"/>
        <w:bidi/>
        <w:spacing w:before="0" w:beforeAutospacing="0" w:after="120" w:afterAutospacing="0"/>
        <w:jc w:val="lowKashida"/>
        <w:rPr>
          <w:rFonts w:asciiTheme="majorBidi" w:hAnsiTheme="majorBidi" w:cstheme="majorBidi"/>
          <w:b/>
          <w:bCs/>
          <w:sz w:val="18"/>
          <w:szCs w:val="18"/>
        </w:rPr>
      </w:pPr>
      <w:r w:rsidRPr="00BC7D57">
        <w:rPr>
          <w:rFonts w:asciiTheme="majorBidi" w:hAnsiTheme="majorBidi" w:cstheme="majorBidi"/>
          <w:b/>
          <w:bCs/>
          <w:sz w:val="18"/>
          <w:szCs w:val="18"/>
          <w:rtl/>
        </w:rPr>
        <w:t xml:space="preserve">خالف الحافظ منهج المتقدمين في تنظيم الطبقات؛ فمنه أنه عدَّ الصحابة في الطبقة الأولى، وليس له سلف في هذا سوى الذهبي في (تذكرة الحفاظ)، ومنه أنه جعل الطبقات متساوية في جميع البلدان. أما المتقدمون فعدد الطبقات عندهم يختلف من بلد لآخر. </w:t>
      </w:r>
    </w:p>
    <w:p w:rsidR="00BC7D57" w:rsidRPr="00BC7D57" w:rsidRDefault="00BC7D57" w:rsidP="00BC7D57">
      <w:pPr>
        <w:pStyle w:val="a3"/>
        <w:bidi/>
        <w:spacing w:before="0" w:beforeAutospacing="0" w:after="120" w:afterAutospacing="0"/>
        <w:jc w:val="lowKashida"/>
        <w:rPr>
          <w:rFonts w:asciiTheme="majorBidi" w:hAnsiTheme="majorBidi" w:cstheme="majorBidi"/>
          <w:b/>
          <w:bCs/>
          <w:sz w:val="18"/>
          <w:szCs w:val="18"/>
        </w:rPr>
      </w:pPr>
      <w:r w:rsidRPr="00BC7D57">
        <w:rPr>
          <w:rFonts w:asciiTheme="majorBidi" w:hAnsiTheme="majorBidi" w:cstheme="majorBidi"/>
          <w:b/>
          <w:bCs/>
          <w:sz w:val="18"/>
          <w:szCs w:val="18"/>
          <w:rtl/>
        </w:rPr>
        <w:t xml:space="preserve">وختامًا نقول: </w:t>
      </w:r>
    </w:p>
    <w:p w:rsidR="00BC7D57" w:rsidRPr="00BC7D57" w:rsidRDefault="00BC7D57" w:rsidP="00BC7D57">
      <w:pPr>
        <w:pStyle w:val="a3"/>
        <w:bidi/>
        <w:spacing w:before="0" w:beforeAutospacing="0" w:after="120" w:afterAutospacing="0"/>
        <w:jc w:val="lowKashida"/>
        <w:rPr>
          <w:rFonts w:asciiTheme="majorBidi" w:hAnsiTheme="majorBidi" w:cstheme="majorBidi"/>
          <w:b/>
          <w:bCs/>
          <w:sz w:val="18"/>
          <w:szCs w:val="18"/>
        </w:rPr>
      </w:pPr>
      <w:r w:rsidRPr="00BC7D57">
        <w:rPr>
          <w:rFonts w:asciiTheme="majorBidi" w:hAnsiTheme="majorBidi" w:cstheme="majorBidi"/>
          <w:b/>
          <w:bCs/>
          <w:sz w:val="18"/>
          <w:szCs w:val="18"/>
          <w:rtl/>
        </w:rPr>
        <w:t>إن تقسيم رواة التقريب إلى ثنتي عشرة طبقة عمل جريء في العصور المتأخرة، ولم يخلُ من عناصر ذكية، لولا العيوب والثغراتُ التي نبهنا عليها، والكمال لله وحده، وننبه أيضًا إلى أنه إذا كان هذا التقسيم الذي فيه عناصر ذكية؛ فقد كان فيه في (تقريب التهذيب) الذي جعل في هذه الطبقات أيضًا عناصر ذكية من ناحية الحُكم على الرواة بشيء من التحديد والتدقيق يُغني عن كثير من اختلاف علماء الجرح والتعديل في اختلافهم حول راوٍ معين، وكثيرًا ما يختلفون.</w:t>
      </w:r>
    </w:p>
    <w:p w:rsidR="00BC7D57" w:rsidRPr="00BC7D57" w:rsidRDefault="00BC7D57" w:rsidP="00BC7D57">
      <w:pPr>
        <w:pStyle w:val="a3"/>
        <w:bidi/>
        <w:spacing w:before="0" w:beforeAutospacing="0" w:after="120" w:afterAutospacing="0"/>
        <w:jc w:val="lowKashida"/>
        <w:rPr>
          <w:rFonts w:asciiTheme="majorBidi" w:hAnsiTheme="majorBidi" w:cstheme="majorBidi"/>
          <w:b/>
          <w:bCs/>
          <w:sz w:val="18"/>
          <w:szCs w:val="18"/>
        </w:rPr>
      </w:pPr>
      <w:r w:rsidRPr="00BC7D57">
        <w:rPr>
          <w:rFonts w:asciiTheme="majorBidi" w:hAnsiTheme="majorBidi" w:cstheme="majorBidi"/>
          <w:b/>
          <w:bCs/>
          <w:sz w:val="18"/>
          <w:szCs w:val="18"/>
          <w:rtl/>
        </w:rPr>
        <w:t>فابن حجر اختار من (تهذيب التهذيب) الذي قربه اختار من بعض العلماء عبارة تُبين مرتبة الراوي، كما اختار عبارة تبيّن طبقة الراوي الزمنية.</w:t>
      </w:r>
    </w:p>
    <w:p w:rsidR="00BC7D57" w:rsidRPr="00BC7D57" w:rsidRDefault="00BC7D57" w:rsidP="00BC7D57">
      <w:pPr>
        <w:pStyle w:val="a4"/>
        <w:spacing w:line="240" w:lineRule="auto"/>
        <w:ind w:left="373"/>
        <w:jc w:val="center"/>
        <w:rPr>
          <w:rFonts w:asciiTheme="majorBidi" w:hAnsiTheme="majorBidi" w:cstheme="majorBidi"/>
          <w:b/>
          <w:bCs/>
          <w:sz w:val="18"/>
          <w:szCs w:val="18"/>
          <w:rtl/>
        </w:rPr>
      </w:pPr>
      <w:r w:rsidRPr="00BC7D57">
        <w:rPr>
          <w:rFonts w:asciiTheme="majorBidi" w:hAnsiTheme="majorBidi" w:cstheme="majorBidi"/>
          <w:b/>
          <w:bCs/>
          <w:sz w:val="18"/>
          <w:szCs w:val="18"/>
          <w:rtl/>
        </w:rPr>
        <w:t>المراجع والمصادر</w:t>
      </w:r>
    </w:p>
    <w:p w:rsidR="00BC7D57" w:rsidRPr="00BC7D57" w:rsidRDefault="00BC7D57" w:rsidP="00BC7D57">
      <w:pPr>
        <w:numPr>
          <w:ilvl w:val="0"/>
          <w:numId w:val="1"/>
        </w:numPr>
        <w:spacing w:after="120" w:line="240" w:lineRule="auto"/>
        <w:jc w:val="lowKashida"/>
        <w:rPr>
          <w:rFonts w:asciiTheme="majorBidi" w:hAnsiTheme="majorBidi" w:cstheme="majorBidi"/>
          <w:b/>
          <w:bCs/>
          <w:sz w:val="18"/>
          <w:szCs w:val="18"/>
          <w:lang w:bidi="ar-EG"/>
        </w:rPr>
      </w:pPr>
      <w:r w:rsidRPr="00BC7D57">
        <w:rPr>
          <w:rFonts w:asciiTheme="majorBidi" w:hAnsiTheme="majorBidi" w:cstheme="majorBidi"/>
          <w:b/>
          <w:bCs/>
          <w:sz w:val="18"/>
          <w:szCs w:val="18"/>
          <w:rtl/>
          <w:lang w:bidi="ar-EG"/>
        </w:rPr>
        <w:t xml:space="preserve">(علم رجال الحديث) </w:t>
      </w:r>
    </w:p>
    <w:p w:rsidR="00BC7D57" w:rsidRPr="00BC7D57" w:rsidRDefault="00BC7D57" w:rsidP="00BC7D57">
      <w:pPr>
        <w:spacing w:after="120" w:line="240" w:lineRule="auto"/>
        <w:ind w:left="227" w:firstLine="283"/>
        <w:jc w:val="lowKashida"/>
        <w:rPr>
          <w:rFonts w:asciiTheme="majorBidi" w:hAnsiTheme="majorBidi" w:cstheme="majorBidi"/>
          <w:b/>
          <w:bCs/>
          <w:sz w:val="18"/>
          <w:szCs w:val="18"/>
          <w:rtl/>
          <w:lang w:bidi="ar-EG"/>
        </w:rPr>
      </w:pPr>
      <w:r w:rsidRPr="00BC7D57">
        <w:rPr>
          <w:rFonts w:asciiTheme="majorBidi" w:hAnsiTheme="majorBidi" w:cstheme="majorBidi"/>
          <w:b/>
          <w:bCs/>
          <w:sz w:val="18"/>
          <w:szCs w:val="18"/>
          <w:rtl/>
          <w:lang w:bidi="ar-EG"/>
        </w:rPr>
        <w:t>تقي الدين الندوي المظاهري، المدينة المنورة، مكتبة الإيمان، 1987م.</w:t>
      </w:r>
    </w:p>
    <w:p w:rsidR="00BC7D57" w:rsidRPr="00BC7D57" w:rsidRDefault="00BC7D57" w:rsidP="00BC7D57">
      <w:pPr>
        <w:numPr>
          <w:ilvl w:val="0"/>
          <w:numId w:val="1"/>
        </w:numPr>
        <w:spacing w:after="120" w:line="240" w:lineRule="auto"/>
        <w:jc w:val="lowKashida"/>
        <w:rPr>
          <w:rFonts w:asciiTheme="majorBidi" w:hAnsiTheme="majorBidi" w:cstheme="majorBidi"/>
          <w:b/>
          <w:bCs/>
          <w:sz w:val="18"/>
          <w:szCs w:val="18"/>
        </w:rPr>
      </w:pPr>
      <w:r w:rsidRPr="00BC7D57">
        <w:rPr>
          <w:rFonts w:asciiTheme="majorBidi" w:hAnsiTheme="majorBidi" w:cstheme="majorBidi"/>
          <w:b/>
          <w:bCs/>
          <w:sz w:val="18"/>
          <w:szCs w:val="18"/>
          <w:rtl/>
          <w:lang w:bidi="ar-EG"/>
        </w:rPr>
        <w:t xml:space="preserve">(علم الرجال وأهميته) </w:t>
      </w:r>
    </w:p>
    <w:p w:rsidR="00BC7D57" w:rsidRPr="00BC7D57" w:rsidRDefault="00BC7D57" w:rsidP="00BC7D57">
      <w:pPr>
        <w:spacing w:after="120" w:line="240" w:lineRule="auto"/>
        <w:ind w:left="510"/>
        <w:jc w:val="lowKashida"/>
        <w:rPr>
          <w:rFonts w:asciiTheme="majorBidi" w:hAnsiTheme="majorBidi" w:cstheme="majorBidi"/>
          <w:b/>
          <w:bCs/>
          <w:sz w:val="18"/>
          <w:szCs w:val="18"/>
          <w:rtl/>
        </w:rPr>
      </w:pPr>
      <w:r w:rsidRPr="00BC7D57">
        <w:rPr>
          <w:rFonts w:asciiTheme="majorBidi" w:hAnsiTheme="majorBidi" w:cstheme="majorBidi"/>
          <w:b/>
          <w:bCs/>
          <w:sz w:val="18"/>
          <w:szCs w:val="18"/>
          <w:rtl/>
          <w:lang w:bidi="ar-EG"/>
        </w:rPr>
        <w:t>عبد الرحمن بن يحيى المعلمي اليماني, دار الراية للنشر والتوزيع, 1417هـ.</w:t>
      </w:r>
    </w:p>
    <w:p w:rsidR="00BC7D57" w:rsidRPr="00BC7D57" w:rsidRDefault="00BC7D57" w:rsidP="00BC7D57">
      <w:pPr>
        <w:numPr>
          <w:ilvl w:val="0"/>
          <w:numId w:val="1"/>
        </w:numPr>
        <w:spacing w:after="120" w:line="240" w:lineRule="auto"/>
        <w:jc w:val="lowKashida"/>
        <w:rPr>
          <w:rFonts w:asciiTheme="majorBidi" w:hAnsiTheme="majorBidi" w:cstheme="majorBidi"/>
          <w:b/>
          <w:bCs/>
          <w:sz w:val="18"/>
          <w:szCs w:val="18"/>
          <w:lang w:bidi="ar-EG"/>
        </w:rPr>
      </w:pPr>
      <w:r w:rsidRPr="00BC7D57">
        <w:rPr>
          <w:rFonts w:asciiTheme="majorBidi" w:hAnsiTheme="majorBidi" w:cstheme="majorBidi"/>
          <w:b/>
          <w:bCs/>
          <w:sz w:val="18"/>
          <w:szCs w:val="18"/>
          <w:rtl/>
          <w:lang w:bidi="ar-EG"/>
        </w:rPr>
        <w:t xml:space="preserve">(علم طبقات المحدثين: أهميته وفوائده) </w:t>
      </w:r>
    </w:p>
    <w:p w:rsidR="00BC7D57" w:rsidRPr="00BC7D57" w:rsidRDefault="00BC7D57" w:rsidP="00BC7D57">
      <w:pPr>
        <w:spacing w:after="120" w:line="240" w:lineRule="auto"/>
        <w:ind w:left="227" w:firstLine="283"/>
        <w:jc w:val="lowKashida"/>
        <w:rPr>
          <w:rFonts w:asciiTheme="majorBidi" w:hAnsiTheme="majorBidi" w:cstheme="majorBidi"/>
          <w:b/>
          <w:bCs/>
          <w:sz w:val="18"/>
          <w:szCs w:val="18"/>
          <w:rtl/>
          <w:lang w:bidi="ar-EG"/>
        </w:rPr>
      </w:pPr>
      <w:r w:rsidRPr="00BC7D57">
        <w:rPr>
          <w:rFonts w:asciiTheme="majorBidi" w:hAnsiTheme="majorBidi" w:cstheme="majorBidi"/>
          <w:b/>
          <w:bCs/>
          <w:sz w:val="18"/>
          <w:szCs w:val="18"/>
          <w:rtl/>
          <w:lang w:bidi="ar-EG"/>
        </w:rPr>
        <w:lastRenderedPageBreak/>
        <w:t>أسعد سالم يتم، مكتبة الرشد, 1994م.</w:t>
      </w:r>
    </w:p>
    <w:p w:rsidR="00BC7D57" w:rsidRPr="00BC7D57" w:rsidRDefault="00BC7D57" w:rsidP="00BC7D57">
      <w:pPr>
        <w:numPr>
          <w:ilvl w:val="0"/>
          <w:numId w:val="1"/>
        </w:numPr>
        <w:spacing w:after="120" w:line="240" w:lineRule="auto"/>
        <w:jc w:val="lowKashida"/>
        <w:rPr>
          <w:rFonts w:asciiTheme="majorBidi" w:hAnsiTheme="majorBidi" w:cstheme="majorBidi"/>
          <w:b/>
          <w:bCs/>
          <w:sz w:val="18"/>
          <w:szCs w:val="18"/>
          <w:lang w:bidi="ar-EG"/>
        </w:rPr>
      </w:pPr>
      <w:r w:rsidRPr="00BC7D57">
        <w:rPr>
          <w:rFonts w:asciiTheme="majorBidi" w:hAnsiTheme="majorBidi" w:cstheme="majorBidi"/>
          <w:b/>
          <w:bCs/>
          <w:sz w:val="18"/>
          <w:szCs w:val="18"/>
          <w:rtl/>
          <w:lang w:bidi="ar-EG"/>
        </w:rPr>
        <w:t xml:space="preserve">(تاريخ خليفة بن خياط) </w:t>
      </w:r>
    </w:p>
    <w:p w:rsidR="00BC7D57" w:rsidRPr="00BC7D57" w:rsidRDefault="00BC7D57" w:rsidP="00BC7D57">
      <w:pPr>
        <w:spacing w:after="120" w:line="240" w:lineRule="auto"/>
        <w:ind w:left="510"/>
        <w:jc w:val="lowKashida"/>
        <w:rPr>
          <w:rFonts w:asciiTheme="majorBidi" w:hAnsiTheme="majorBidi" w:cstheme="majorBidi"/>
          <w:b/>
          <w:bCs/>
          <w:sz w:val="18"/>
          <w:szCs w:val="18"/>
          <w:rtl/>
          <w:lang w:bidi="ar-EG"/>
        </w:rPr>
      </w:pPr>
      <w:r w:rsidRPr="00BC7D57">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BC7D57" w:rsidRPr="00BC7D57" w:rsidRDefault="00BC7D57" w:rsidP="00BC7D57">
      <w:pPr>
        <w:numPr>
          <w:ilvl w:val="0"/>
          <w:numId w:val="1"/>
        </w:numPr>
        <w:spacing w:after="120" w:line="240" w:lineRule="auto"/>
        <w:jc w:val="lowKashida"/>
        <w:rPr>
          <w:rFonts w:asciiTheme="majorBidi" w:hAnsiTheme="majorBidi" w:cstheme="majorBidi"/>
          <w:b/>
          <w:bCs/>
          <w:sz w:val="18"/>
          <w:szCs w:val="18"/>
          <w:lang w:bidi="ar-EG"/>
        </w:rPr>
      </w:pPr>
      <w:r w:rsidRPr="00BC7D57">
        <w:rPr>
          <w:rFonts w:asciiTheme="majorBidi" w:hAnsiTheme="majorBidi" w:cstheme="majorBidi"/>
          <w:b/>
          <w:bCs/>
          <w:sz w:val="18"/>
          <w:szCs w:val="18"/>
          <w:rtl/>
          <w:lang w:bidi="ar-EG"/>
        </w:rPr>
        <w:t xml:space="preserve">(الطبقات) </w:t>
      </w:r>
    </w:p>
    <w:p w:rsidR="00BC7D57" w:rsidRPr="00BC7D57" w:rsidRDefault="00BC7D57" w:rsidP="00BC7D57">
      <w:pPr>
        <w:spacing w:after="120" w:line="240" w:lineRule="auto"/>
        <w:ind w:left="227" w:firstLine="283"/>
        <w:jc w:val="lowKashida"/>
        <w:rPr>
          <w:rFonts w:asciiTheme="majorBidi" w:hAnsiTheme="majorBidi" w:cstheme="majorBidi"/>
          <w:b/>
          <w:bCs/>
          <w:sz w:val="18"/>
          <w:szCs w:val="18"/>
          <w:rtl/>
          <w:lang w:bidi="ar-EG"/>
        </w:rPr>
      </w:pPr>
      <w:r w:rsidRPr="00BC7D57">
        <w:rPr>
          <w:rFonts w:asciiTheme="majorBidi" w:hAnsiTheme="majorBidi" w:cstheme="majorBidi"/>
          <w:b/>
          <w:bCs/>
          <w:sz w:val="18"/>
          <w:szCs w:val="18"/>
          <w:rtl/>
          <w:lang w:bidi="ar-EG"/>
        </w:rPr>
        <w:t>خليفة بن خياط الشيباني، الرياض، دار طيبة،1982م.</w:t>
      </w:r>
    </w:p>
    <w:p w:rsidR="00BC7D57" w:rsidRPr="00BC7D57" w:rsidRDefault="00BC7D57" w:rsidP="00BC7D57">
      <w:pPr>
        <w:numPr>
          <w:ilvl w:val="0"/>
          <w:numId w:val="1"/>
        </w:numPr>
        <w:spacing w:after="120" w:line="240" w:lineRule="auto"/>
        <w:rPr>
          <w:rFonts w:asciiTheme="majorBidi" w:hAnsiTheme="majorBidi" w:cstheme="majorBidi"/>
          <w:b/>
          <w:bCs/>
          <w:sz w:val="18"/>
          <w:szCs w:val="18"/>
          <w:lang w:bidi="ar-EG"/>
        </w:rPr>
      </w:pPr>
      <w:r w:rsidRPr="00BC7D57">
        <w:rPr>
          <w:rFonts w:asciiTheme="majorBidi" w:hAnsiTheme="majorBidi" w:cstheme="majorBidi"/>
          <w:b/>
          <w:bCs/>
          <w:sz w:val="18"/>
          <w:szCs w:val="18"/>
          <w:rtl/>
          <w:lang w:bidi="ar-EG"/>
        </w:rPr>
        <w:t xml:space="preserve">(التاريخ الكبير) </w:t>
      </w:r>
    </w:p>
    <w:p w:rsidR="00BC7D57" w:rsidRPr="00BC7D57" w:rsidRDefault="00BC7D57" w:rsidP="00BC7D57">
      <w:pPr>
        <w:spacing w:after="120" w:line="240" w:lineRule="auto"/>
        <w:ind w:left="510"/>
        <w:rPr>
          <w:rFonts w:asciiTheme="majorBidi" w:hAnsiTheme="majorBidi" w:cstheme="majorBidi"/>
          <w:b/>
          <w:bCs/>
          <w:sz w:val="18"/>
          <w:szCs w:val="18"/>
          <w:rtl/>
          <w:lang w:bidi="ar-EG"/>
        </w:rPr>
      </w:pPr>
      <w:r w:rsidRPr="00BC7D57">
        <w:rPr>
          <w:rFonts w:asciiTheme="majorBidi" w:hAnsiTheme="majorBidi" w:cstheme="majorBidi"/>
          <w:b/>
          <w:bCs/>
          <w:sz w:val="18"/>
          <w:szCs w:val="18"/>
          <w:rtl/>
          <w:lang w:bidi="ar-EG"/>
        </w:rPr>
        <w:t>عبد الله بن اسماعيل بن ابراهيم البخاري، بيروت، دار الكتب العلمية، 1884م.</w:t>
      </w:r>
    </w:p>
    <w:p w:rsidR="00BC7D57" w:rsidRPr="00BC7D57" w:rsidRDefault="00BC7D57" w:rsidP="00BC7D57">
      <w:pPr>
        <w:numPr>
          <w:ilvl w:val="0"/>
          <w:numId w:val="1"/>
        </w:numPr>
        <w:spacing w:after="120" w:line="240" w:lineRule="auto"/>
        <w:jc w:val="lowKashida"/>
        <w:rPr>
          <w:rFonts w:asciiTheme="majorBidi" w:hAnsiTheme="majorBidi" w:cstheme="majorBidi"/>
          <w:b/>
          <w:bCs/>
          <w:sz w:val="18"/>
          <w:szCs w:val="18"/>
          <w:lang w:bidi="ar-EG"/>
        </w:rPr>
      </w:pPr>
      <w:r w:rsidRPr="00BC7D57">
        <w:rPr>
          <w:rFonts w:asciiTheme="majorBidi" w:hAnsiTheme="majorBidi" w:cstheme="majorBidi"/>
          <w:b/>
          <w:bCs/>
          <w:sz w:val="18"/>
          <w:szCs w:val="18"/>
          <w:rtl/>
          <w:lang w:bidi="ar-EG"/>
        </w:rPr>
        <w:t xml:space="preserve">(الجرح والتعديل) </w:t>
      </w:r>
    </w:p>
    <w:p w:rsidR="00BC7D57" w:rsidRPr="00BC7D57" w:rsidRDefault="00BC7D57" w:rsidP="00BC7D57">
      <w:pPr>
        <w:spacing w:after="120" w:line="240" w:lineRule="auto"/>
        <w:ind w:left="510"/>
        <w:jc w:val="lowKashida"/>
        <w:rPr>
          <w:rFonts w:asciiTheme="majorBidi" w:hAnsiTheme="majorBidi" w:cstheme="majorBidi"/>
          <w:b/>
          <w:bCs/>
          <w:sz w:val="18"/>
          <w:szCs w:val="18"/>
          <w:rtl/>
          <w:lang w:bidi="ar-EG"/>
        </w:rPr>
      </w:pPr>
      <w:r w:rsidRPr="00BC7D57">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BC7D57" w:rsidRPr="00BC7D57" w:rsidRDefault="00BC7D57" w:rsidP="00BC7D57">
      <w:pPr>
        <w:numPr>
          <w:ilvl w:val="0"/>
          <w:numId w:val="1"/>
        </w:numPr>
        <w:spacing w:after="120" w:line="240" w:lineRule="auto"/>
        <w:jc w:val="lowKashida"/>
        <w:rPr>
          <w:rFonts w:asciiTheme="majorBidi" w:hAnsiTheme="majorBidi" w:cstheme="majorBidi"/>
          <w:b/>
          <w:bCs/>
          <w:sz w:val="18"/>
          <w:szCs w:val="18"/>
          <w:lang w:bidi="ar-EG"/>
        </w:rPr>
      </w:pPr>
      <w:r w:rsidRPr="00BC7D57">
        <w:rPr>
          <w:rFonts w:asciiTheme="majorBidi" w:hAnsiTheme="majorBidi" w:cstheme="majorBidi"/>
          <w:b/>
          <w:bCs/>
          <w:sz w:val="18"/>
          <w:szCs w:val="18"/>
          <w:rtl/>
          <w:lang w:bidi="ar-EG"/>
        </w:rPr>
        <w:t>(مناهج المحدِّثين في</w:t>
      </w:r>
      <w:r w:rsidRPr="00BC7D57">
        <w:rPr>
          <w:rFonts w:asciiTheme="majorBidi" w:hAnsiTheme="majorBidi" w:cstheme="majorBidi"/>
          <w:b/>
          <w:bCs/>
          <w:sz w:val="18"/>
          <w:szCs w:val="18"/>
          <w:lang w:bidi="ar-EG"/>
        </w:rPr>
        <w:t xml:space="preserve"> </w:t>
      </w:r>
      <w:r w:rsidRPr="00BC7D57">
        <w:rPr>
          <w:rFonts w:asciiTheme="majorBidi" w:hAnsiTheme="majorBidi" w:cstheme="majorBidi"/>
          <w:b/>
          <w:bCs/>
          <w:sz w:val="18"/>
          <w:szCs w:val="18"/>
          <w:rtl/>
          <w:lang w:bidi="ar-EG"/>
        </w:rPr>
        <w:t xml:space="preserve">رواية الحديث بالمعنى) </w:t>
      </w:r>
    </w:p>
    <w:p w:rsidR="00BC7D57" w:rsidRPr="00BC7D57" w:rsidRDefault="00BC7D57" w:rsidP="00BC7D57">
      <w:pPr>
        <w:spacing w:after="120" w:line="240" w:lineRule="auto"/>
        <w:ind w:left="510"/>
        <w:jc w:val="lowKashida"/>
        <w:rPr>
          <w:rFonts w:asciiTheme="majorBidi" w:hAnsiTheme="majorBidi" w:cstheme="majorBidi"/>
          <w:b/>
          <w:bCs/>
          <w:sz w:val="18"/>
          <w:szCs w:val="18"/>
          <w:rtl/>
          <w:lang w:bidi="ar-EG"/>
        </w:rPr>
      </w:pPr>
      <w:r w:rsidRPr="00BC7D57">
        <w:rPr>
          <w:rFonts w:asciiTheme="majorBidi" w:hAnsiTheme="majorBidi" w:cstheme="majorBidi"/>
          <w:b/>
          <w:bCs/>
          <w:sz w:val="18"/>
          <w:szCs w:val="18"/>
          <w:rtl/>
          <w:lang w:bidi="ar-EG"/>
        </w:rPr>
        <w:t>عبد الرزاق بن خليفة الشايجي، بيروت، دار ابن حزم للطباعة والنشر، 1419هـ.</w:t>
      </w:r>
    </w:p>
    <w:p w:rsidR="00BC7D57" w:rsidRPr="00BC7D57" w:rsidRDefault="00BC7D57" w:rsidP="00BC7D57">
      <w:pPr>
        <w:numPr>
          <w:ilvl w:val="0"/>
          <w:numId w:val="1"/>
        </w:numPr>
        <w:spacing w:after="120" w:line="240" w:lineRule="auto"/>
        <w:jc w:val="lowKashida"/>
        <w:rPr>
          <w:rFonts w:asciiTheme="majorBidi" w:hAnsiTheme="majorBidi" w:cstheme="majorBidi"/>
          <w:b/>
          <w:bCs/>
          <w:sz w:val="18"/>
          <w:szCs w:val="18"/>
          <w:lang w:bidi="ar-EG"/>
        </w:rPr>
      </w:pPr>
      <w:r w:rsidRPr="00BC7D57">
        <w:rPr>
          <w:rFonts w:asciiTheme="majorBidi" w:hAnsiTheme="majorBidi" w:cstheme="majorBidi"/>
          <w:b/>
          <w:bCs/>
          <w:sz w:val="18"/>
          <w:szCs w:val="18"/>
          <w:rtl/>
          <w:lang w:bidi="ar-EG"/>
        </w:rPr>
        <w:t xml:space="preserve">(الضوء اللامع المبين عن مناهج المحدثين) </w:t>
      </w:r>
    </w:p>
    <w:p w:rsidR="00BC7D57" w:rsidRPr="00BC7D57" w:rsidRDefault="00BC7D57" w:rsidP="00BC7D57">
      <w:pPr>
        <w:spacing w:after="120" w:line="240" w:lineRule="auto"/>
        <w:ind w:left="227" w:firstLine="283"/>
        <w:jc w:val="lowKashida"/>
        <w:rPr>
          <w:rFonts w:asciiTheme="majorBidi" w:hAnsiTheme="majorBidi" w:cstheme="majorBidi"/>
          <w:b/>
          <w:bCs/>
          <w:sz w:val="18"/>
          <w:szCs w:val="18"/>
          <w:rtl/>
          <w:lang w:bidi="ar-EG"/>
        </w:rPr>
      </w:pPr>
      <w:r w:rsidRPr="00BC7D57">
        <w:rPr>
          <w:rFonts w:asciiTheme="majorBidi" w:hAnsiTheme="majorBidi" w:cstheme="majorBidi"/>
          <w:b/>
          <w:bCs/>
          <w:sz w:val="18"/>
          <w:szCs w:val="18"/>
          <w:rtl/>
          <w:lang w:bidi="ar-EG"/>
        </w:rPr>
        <w:lastRenderedPageBreak/>
        <w:t>أحمد محرم الشيخ ناجي, مطبعة الصفا والمروة, 2001م.</w:t>
      </w:r>
    </w:p>
    <w:p w:rsidR="00BC7D57" w:rsidRPr="00BC7D57" w:rsidRDefault="00BC7D57" w:rsidP="00BC7D57">
      <w:pPr>
        <w:numPr>
          <w:ilvl w:val="0"/>
          <w:numId w:val="1"/>
        </w:numPr>
        <w:spacing w:after="120" w:line="240" w:lineRule="auto"/>
        <w:jc w:val="lowKashida"/>
        <w:rPr>
          <w:rFonts w:asciiTheme="majorBidi" w:hAnsiTheme="majorBidi" w:cstheme="majorBidi"/>
          <w:b/>
          <w:bCs/>
          <w:sz w:val="18"/>
          <w:szCs w:val="18"/>
          <w:lang w:bidi="ar-EG"/>
        </w:rPr>
      </w:pPr>
      <w:r w:rsidRPr="00BC7D57">
        <w:rPr>
          <w:rFonts w:asciiTheme="majorBidi" w:hAnsiTheme="majorBidi" w:cstheme="majorBidi"/>
          <w:b/>
          <w:bCs/>
          <w:sz w:val="18"/>
          <w:szCs w:val="18"/>
          <w:rtl/>
          <w:lang w:bidi="ar-EG"/>
        </w:rPr>
        <w:t xml:space="preserve">(من روى عن أبيه عن جده) </w:t>
      </w:r>
    </w:p>
    <w:p w:rsidR="00BC7D57" w:rsidRPr="00BC7D57" w:rsidRDefault="00BC7D57" w:rsidP="00BC7D57">
      <w:pPr>
        <w:spacing w:after="120" w:line="240" w:lineRule="auto"/>
        <w:ind w:left="510"/>
        <w:jc w:val="lowKashida"/>
        <w:rPr>
          <w:rFonts w:asciiTheme="majorBidi" w:hAnsiTheme="majorBidi" w:cstheme="majorBidi"/>
          <w:b/>
          <w:bCs/>
          <w:sz w:val="18"/>
          <w:szCs w:val="18"/>
          <w:rtl/>
          <w:lang w:bidi="ar-EG"/>
        </w:rPr>
      </w:pPr>
      <w:r w:rsidRPr="00BC7D57">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BC7D57" w:rsidRPr="00BC7D57" w:rsidRDefault="00BC7D57" w:rsidP="00BC7D57">
      <w:pPr>
        <w:numPr>
          <w:ilvl w:val="0"/>
          <w:numId w:val="1"/>
        </w:numPr>
        <w:spacing w:after="120" w:line="240" w:lineRule="auto"/>
        <w:jc w:val="lowKashida"/>
        <w:rPr>
          <w:rFonts w:asciiTheme="majorBidi" w:hAnsiTheme="majorBidi" w:cstheme="majorBidi"/>
          <w:b/>
          <w:bCs/>
          <w:sz w:val="18"/>
          <w:szCs w:val="18"/>
          <w:lang w:bidi="ar-EG"/>
        </w:rPr>
      </w:pPr>
      <w:r w:rsidRPr="00BC7D57">
        <w:rPr>
          <w:rFonts w:asciiTheme="majorBidi" w:hAnsiTheme="majorBidi" w:cstheme="majorBidi"/>
          <w:b/>
          <w:bCs/>
          <w:sz w:val="18"/>
          <w:szCs w:val="18"/>
          <w:rtl/>
          <w:lang w:bidi="ar-EG"/>
        </w:rPr>
        <w:t xml:space="preserve">(الرواة من الأخوة والأخوات) </w:t>
      </w:r>
    </w:p>
    <w:p w:rsidR="00BC7D57" w:rsidRPr="00BC7D57" w:rsidRDefault="00BC7D57" w:rsidP="00BC7D57">
      <w:pPr>
        <w:spacing w:after="120" w:line="240" w:lineRule="auto"/>
        <w:ind w:left="510"/>
        <w:jc w:val="lowKashida"/>
        <w:rPr>
          <w:rFonts w:asciiTheme="majorBidi" w:hAnsiTheme="majorBidi" w:cstheme="majorBidi"/>
          <w:b/>
          <w:bCs/>
          <w:sz w:val="18"/>
          <w:szCs w:val="18"/>
          <w:rtl/>
          <w:lang w:bidi="ar-EG"/>
        </w:rPr>
      </w:pPr>
      <w:r w:rsidRPr="00BC7D57">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BC7D57" w:rsidRPr="00BC7D57" w:rsidRDefault="00BC7D57" w:rsidP="00BC7D57">
      <w:pPr>
        <w:numPr>
          <w:ilvl w:val="0"/>
          <w:numId w:val="1"/>
        </w:numPr>
        <w:spacing w:after="120" w:line="240" w:lineRule="auto"/>
        <w:jc w:val="lowKashida"/>
        <w:rPr>
          <w:rFonts w:asciiTheme="majorBidi" w:hAnsiTheme="majorBidi" w:cstheme="majorBidi"/>
          <w:b/>
          <w:bCs/>
          <w:sz w:val="18"/>
          <w:szCs w:val="18"/>
          <w:lang w:bidi="ar-EG"/>
        </w:rPr>
      </w:pPr>
      <w:r w:rsidRPr="00BC7D57">
        <w:rPr>
          <w:rFonts w:asciiTheme="majorBidi" w:hAnsiTheme="majorBidi" w:cstheme="majorBidi"/>
          <w:b/>
          <w:bCs/>
          <w:sz w:val="18"/>
          <w:szCs w:val="18"/>
          <w:rtl/>
          <w:lang w:bidi="ar-EG"/>
        </w:rPr>
        <w:t xml:space="preserve">(الكنى والأسماء) </w:t>
      </w:r>
    </w:p>
    <w:p w:rsidR="00BC7D57" w:rsidRPr="00BC7D57" w:rsidRDefault="00BC7D57" w:rsidP="00BC7D57">
      <w:pPr>
        <w:spacing w:after="120" w:line="240" w:lineRule="auto"/>
        <w:ind w:left="227" w:firstLine="283"/>
        <w:jc w:val="lowKashida"/>
        <w:rPr>
          <w:rFonts w:asciiTheme="majorBidi" w:hAnsiTheme="majorBidi" w:cstheme="majorBidi"/>
          <w:b/>
          <w:bCs/>
          <w:sz w:val="18"/>
          <w:szCs w:val="18"/>
          <w:rtl/>
          <w:lang w:bidi="ar-EG"/>
        </w:rPr>
      </w:pPr>
      <w:r w:rsidRPr="00BC7D57">
        <w:rPr>
          <w:rFonts w:asciiTheme="majorBidi" w:hAnsiTheme="majorBidi" w:cstheme="majorBidi"/>
          <w:b/>
          <w:bCs/>
          <w:sz w:val="18"/>
          <w:szCs w:val="18"/>
          <w:rtl/>
          <w:lang w:bidi="ar-EG"/>
        </w:rPr>
        <w:t>محمد بن أحمد الدولابي،حيدر آباد، دائرة المعارف النظامية، 1322هـ.</w:t>
      </w:r>
    </w:p>
    <w:p w:rsidR="00BC7D57" w:rsidRPr="00BC7D57" w:rsidRDefault="00BC7D57" w:rsidP="00BC7D57">
      <w:pPr>
        <w:numPr>
          <w:ilvl w:val="0"/>
          <w:numId w:val="1"/>
        </w:numPr>
        <w:spacing w:after="120" w:line="240" w:lineRule="auto"/>
        <w:jc w:val="lowKashida"/>
        <w:rPr>
          <w:rFonts w:asciiTheme="majorBidi" w:hAnsiTheme="majorBidi" w:cstheme="majorBidi"/>
          <w:b/>
          <w:bCs/>
          <w:sz w:val="18"/>
          <w:szCs w:val="18"/>
          <w:lang w:bidi="ar-EG"/>
        </w:rPr>
      </w:pPr>
      <w:r w:rsidRPr="00BC7D57">
        <w:rPr>
          <w:rFonts w:asciiTheme="majorBidi" w:hAnsiTheme="majorBidi" w:cstheme="majorBidi"/>
          <w:b/>
          <w:bCs/>
          <w:sz w:val="18"/>
          <w:szCs w:val="18"/>
          <w:rtl/>
          <w:lang w:bidi="ar-EG"/>
        </w:rPr>
        <w:t xml:space="preserve">(طبقات الحنابلة) </w:t>
      </w:r>
    </w:p>
    <w:p w:rsidR="00BC7D57" w:rsidRPr="00BC7D57" w:rsidRDefault="00BC7D57" w:rsidP="00BC7D57">
      <w:pPr>
        <w:spacing w:after="120" w:line="240" w:lineRule="auto"/>
        <w:ind w:left="510"/>
        <w:jc w:val="lowKashida"/>
        <w:rPr>
          <w:rFonts w:asciiTheme="majorBidi" w:hAnsiTheme="majorBidi" w:cstheme="majorBidi"/>
          <w:b/>
          <w:bCs/>
          <w:sz w:val="18"/>
          <w:szCs w:val="18"/>
          <w:rtl/>
          <w:lang w:bidi="ar-EG"/>
        </w:rPr>
      </w:pPr>
      <w:r w:rsidRPr="00BC7D57">
        <w:rPr>
          <w:rFonts w:asciiTheme="majorBidi" w:hAnsiTheme="majorBidi" w:cstheme="majorBidi"/>
          <w:b/>
          <w:bCs/>
          <w:sz w:val="18"/>
          <w:szCs w:val="18"/>
          <w:rtl/>
          <w:lang w:bidi="ar-EG"/>
        </w:rPr>
        <w:t>محمد بن محمد بن الحسين البغدادي أبو يعلى</w:t>
      </w:r>
      <w:r w:rsidRPr="00BC7D57">
        <w:rPr>
          <w:rFonts w:asciiTheme="majorBidi" w:hAnsiTheme="majorBidi" w:cstheme="majorBidi"/>
          <w:b/>
          <w:bCs/>
          <w:sz w:val="18"/>
          <w:szCs w:val="18"/>
          <w:lang w:bidi="ar-EG"/>
        </w:rPr>
        <w:t xml:space="preserve"> </w:t>
      </w:r>
      <w:r w:rsidRPr="00BC7D57">
        <w:rPr>
          <w:rFonts w:asciiTheme="majorBidi" w:hAnsiTheme="majorBidi" w:cstheme="majorBidi"/>
          <w:b/>
          <w:bCs/>
          <w:sz w:val="18"/>
          <w:szCs w:val="18"/>
          <w:rtl/>
          <w:lang w:bidi="ar-EG"/>
        </w:rPr>
        <w:t>الحنبلي، مطبعة السّنة المحمدية، 1371هـ.</w:t>
      </w:r>
    </w:p>
    <w:p w:rsidR="00BC7D57" w:rsidRPr="00BC7D57" w:rsidRDefault="00BC7D57" w:rsidP="00BC7D57">
      <w:pPr>
        <w:numPr>
          <w:ilvl w:val="0"/>
          <w:numId w:val="1"/>
        </w:numPr>
        <w:spacing w:after="120" w:line="240" w:lineRule="auto"/>
        <w:jc w:val="lowKashida"/>
        <w:rPr>
          <w:rFonts w:asciiTheme="majorBidi" w:hAnsiTheme="majorBidi" w:cstheme="majorBidi"/>
          <w:b/>
          <w:bCs/>
          <w:sz w:val="18"/>
          <w:szCs w:val="18"/>
          <w:lang w:bidi="ar-EG"/>
        </w:rPr>
      </w:pPr>
      <w:r w:rsidRPr="00BC7D57">
        <w:rPr>
          <w:rFonts w:asciiTheme="majorBidi" w:hAnsiTheme="majorBidi" w:cstheme="majorBidi"/>
          <w:b/>
          <w:bCs/>
          <w:sz w:val="18"/>
          <w:szCs w:val="18"/>
          <w:rtl/>
          <w:lang w:bidi="ar-EG"/>
        </w:rPr>
        <w:t xml:space="preserve">(الطبقات الكبرى) </w:t>
      </w:r>
    </w:p>
    <w:p w:rsidR="00BC7D57" w:rsidRPr="00BC7D57" w:rsidRDefault="00BC7D57" w:rsidP="00BC7D57">
      <w:pPr>
        <w:spacing w:after="120" w:line="240" w:lineRule="auto"/>
        <w:ind w:left="510"/>
        <w:jc w:val="lowKashida"/>
        <w:rPr>
          <w:rFonts w:asciiTheme="majorBidi" w:hAnsiTheme="majorBidi" w:cstheme="majorBidi"/>
          <w:b/>
          <w:bCs/>
          <w:sz w:val="18"/>
          <w:szCs w:val="18"/>
          <w:rtl/>
          <w:lang w:bidi="ar-EG"/>
        </w:rPr>
      </w:pPr>
      <w:r w:rsidRPr="00BC7D57">
        <w:rPr>
          <w:rFonts w:asciiTheme="majorBidi" w:hAnsiTheme="majorBidi" w:cstheme="majorBidi"/>
          <w:b/>
          <w:bCs/>
          <w:sz w:val="18"/>
          <w:szCs w:val="18"/>
          <w:rtl/>
          <w:lang w:bidi="ar-EG"/>
        </w:rPr>
        <w:t>ابن سعد محمد بن سعد، تحقيق: إحسان عباس، دار بيروت للطباعة والنشر، 1405هـ.</w:t>
      </w:r>
      <w:r w:rsidRPr="00BC7D57">
        <w:rPr>
          <w:rFonts w:asciiTheme="majorBidi" w:hAnsiTheme="majorBidi" w:cstheme="majorBidi"/>
          <w:b/>
          <w:bCs/>
          <w:sz w:val="18"/>
          <w:szCs w:val="18"/>
          <w:lang w:bidi="ar-EG"/>
        </w:rPr>
        <w:t xml:space="preserve"> </w:t>
      </w:r>
    </w:p>
    <w:p w:rsidR="00BC7D57" w:rsidRDefault="00BC7D57" w:rsidP="00BC7D57">
      <w:pPr>
        <w:rPr>
          <w:rtl/>
          <w:lang w:bidi="ar-EG"/>
        </w:rPr>
        <w:sectPr w:rsidR="00BC7D57" w:rsidSect="00BC7D57">
          <w:type w:val="continuous"/>
          <w:pgSz w:w="11906" w:h="16838"/>
          <w:pgMar w:top="1440" w:right="1440" w:bottom="1440" w:left="1440" w:header="720" w:footer="720" w:gutter="0"/>
          <w:cols w:num="2" w:space="720"/>
          <w:bidi/>
          <w:rtlGutter/>
          <w:docGrid w:linePitch="360"/>
        </w:sectPr>
      </w:pPr>
    </w:p>
    <w:p w:rsidR="00BC7D57" w:rsidRPr="00BC7D57" w:rsidRDefault="00BC7D57" w:rsidP="00BC7D57">
      <w:pPr>
        <w:rPr>
          <w:lang w:bidi="ar-EG"/>
        </w:rPr>
      </w:pPr>
    </w:p>
    <w:sectPr w:rsidR="00BC7D57" w:rsidRPr="00BC7D57" w:rsidSect="00BC7D57">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C7D57"/>
    <w:rsid w:val="003E189A"/>
    <w:rsid w:val="005B08E4"/>
    <w:rsid w:val="007E639D"/>
    <w:rsid w:val="00835EB1"/>
    <w:rsid w:val="008C5A4E"/>
    <w:rsid w:val="00BC7D5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EB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BC7D57"/>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BC7D57"/>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BC7D5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C7D5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2013-06-14T02:02:00Z</dcterms:created>
  <dcterms:modified xsi:type="dcterms:W3CDTF">2013-06-16T12:03:00Z</dcterms:modified>
</cp:coreProperties>
</file>