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BC5" w:rsidRDefault="00E01BC5" w:rsidP="003E4C64">
      <w:pPr>
        <w:spacing w:line="240" w:lineRule="auto"/>
        <w:jc w:val="center"/>
        <w:rPr>
          <w:rtl/>
        </w:rPr>
      </w:pPr>
      <w:r w:rsidRPr="004E70E7">
        <w:rPr>
          <w:rFonts w:ascii="Times New Roman" w:hAnsi="Times New Roman" w:cs="Times New Roman"/>
          <w:i/>
          <w:iCs/>
          <w:sz w:val="48"/>
          <w:szCs w:val="48"/>
          <w:rtl/>
        </w:rPr>
        <w:t>فساد الوضع</w:t>
      </w:r>
    </w:p>
    <w:p w:rsidR="00E01BC5" w:rsidRPr="00294A2D" w:rsidRDefault="00E01BC5" w:rsidP="003E4C64">
      <w:pPr>
        <w:spacing w:line="240" w:lineRule="auto"/>
        <w:jc w:val="center"/>
        <w:rPr>
          <w:rFonts w:ascii="Times New Roman" w:hAnsi="Times New Roman" w:cs="Times New Roman"/>
          <w:i/>
          <w:iCs/>
          <w:sz w:val="28"/>
          <w:szCs w:val="28"/>
          <w:rtl/>
        </w:rPr>
      </w:pPr>
      <w:r w:rsidRPr="00294A2D">
        <w:rPr>
          <w:rFonts w:ascii="Times New Roman" w:hAnsi="Times New Roman" w:cs="Times New Roman"/>
          <w:i/>
          <w:iCs/>
          <w:sz w:val="28"/>
          <w:szCs w:val="28"/>
          <w:rtl/>
        </w:rPr>
        <w:t xml:space="preserve">بحث  </w:t>
      </w:r>
      <w:proofErr w:type="spellStart"/>
      <w:r w:rsidRPr="00294A2D">
        <w:rPr>
          <w:rFonts w:ascii="Times New Roman" w:hAnsi="Times New Roman" w:cs="Times New Roman"/>
          <w:i/>
          <w:iCs/>
          <w:sz w:val="28"/>
          <w:szCs w:val="28"/>
          <w:rtl/>
        </w:rPr>
        <w:t>فى</w:t>
      </w:r>
      <w:proofErr w:type="spellEnd"/>
      <w:r w:rsidRPr="00294A2D">
        <w:rPr>
          <w:rFonts w:ascii="Times New Roman" w:hAnsi="Times New Roman" w:cs="Times New Roman"/>
          <w:i/>
          <w:iCs/>
          <w:sz w:val="28"/>
          <w:szCs w:val="28"/>
          <w:rtl/>
        </w:rPr>
        <w:t xml:space="preserve">  </w:t>
      </w:r>
      <w:proofErr w:type="spellStart"/>
      <w:r w:rsidRPr="00294A2D">
        <w:rPr>
          <w:rFonts w:ascii="Times New Roman" w:hAnsi="Times New Roman" w:cs="Times New Roman"/>
          <w:i/>
          <w:iCs/>
          <w:sz w:val="28"/>
          <w:szCs w:val="28"/>
          <w:rtl/>
        </w:rPr>
        <w:t>اصول</w:t>
      </w:r>
      <w:proofErr w:type="spellEnd"/>
      <w:r w:rsidRPr="00294A2D">
        <w:rPr>
          <w:rFonts w:ascii="Times New Roman" w:hAnsi="Times New Roman" w:cs="Times New Roman"/>
          <w:i/>
          <w:iCs/>
          <w:sz w:val="28"/>
          <w:szCs w:val="28"/>
          <w:rtl/>
        </w:rPr>
        <w:t xml:space="preserve"> النحو</w:t>
      </w:r>
    </w:p>
    <w:p w:rsidR="00E01BC5" w:rsidRPr="00294A2D" w:rsidRDefault="00E01BC5" w:rsidP="0073589E">
      <w:pPr>
        <w:spacing w:line="240" w:lineRule="auto"/>
        <w:jc w:val="center"/>
        <w:rPr>
          <w:rFonts w:ascii="Times New Roman" w:hAnsi="Times New Roman" w:cs="Times New Roman"/>
          <w:lang w:bidi="ar-EG"/>
        </w:rPr>
      </w:pPr>
      <w:r w:rsidRPr="00294A2D">
        <w:rPr>
          <w:rFonts w:ascii="Times New Roman" w:hAnsi="Times New Roman" w:cs="Times New Roman"/>
          <w:rtl/>
        </w:rPr>
        <w:t xml:space="preserve">إعداد أ/ </w:t>
      </w:r>
      <w:r w:rsidR="0073589E" w:rsidRPr="0073589E">
        <w:rPr>
          <w:rFonts w:ascii="Times New Roman" w:hAnsi="Times New Roman" w:cs="Times New Roman" w:hint="cs"/>
          <w:rtl/>
          <w:lang w:bidi="ar-EG"/>
        </w:rPr>
        <w:t>شادية بيومي حامد</w:t>
      </w:r>
    </w:p>
    <w:p w:rsidR="00E01BC5" w:rsidRPr="0089766D" w:rsidRDefault="00E01BC5" w:rsidP="003E4C64">
      <w:pPr>
        <w:spacing w:line="240" w:lineRule="auto"/>
        <w:jc w:val="center"/>
        <w:rPr>
          <w:rFonts w:ascii="Times New Roman" w:hAnsi="Times New Roman" w:cs="Times New Roman"/>
          <w:i/>
          <w:iCs/>
          <w:sz w:val="20"/>
          <w:szCs w:val="20"/>
        </w:rPr>
      </w:pPr>
      <w:r w:rsidRPr="0089766D">
        <w:rPr>
          <w:rFonts w:ascii="Times New Roman" w:hAnsi="Times New Roman" w:cs="Times New Roman"/>
          <w:i/>
          <w:iCs/>
          <w:sz w:val="20"/>
          <w:szCs w:val="20"/>
          <w:rtl/>
        </w:rPr>
        <w:t>قسم اللغة العربية</w:t>
      </w:r>
    </w:p>
    <w:p w:rsidR="00E01BC5" w:rsidRPr="0089766D" w:rsidRDefault="00E01BC5" w:rsidP="003E4C64">
      <w:pPr>
        <w:spacing w:line="240" w:lineRule="auto"/>
        <w:jc w:val="center"/>
        <w:rPr>
          <w:rFonts w:ascii="Times New Roman" w:hAnsi="Times New Roman" w:cs="Times New Roman"/>
          <w:i/>
          <w:iCs/>
          <w:sz w:val="20"/>
          <w:szCs w:val="20"/>
        </w:rPr>
      </w:pPr>
      <w:r w:rsidRPr="0089766D">
        <w:rPr>
          <w:rFonts w:ascii="Times New Roman" w:hAnsi="Times New Roman" w:cs="Times New Roman"/>
          <w:i/>
          <w:iCs/>
          <w:sz w:val="20"/>
          <w:szCs w:val="20"/>
          <w:rtl/>
        </w:rPr>
        <w:t>كلية اللغات – جامعة المدينة العالمية</w:t>
      </w:r>
    </w:p>
    <w:p w:rsidR="00E01BC5" w:rsidRPr="0089766D" w:rsidRDefault="00E01BC5" w:rsidP="003E4C64">
      <w:pPr>
        <w:spacing w:line="240" w:lineRule="auto"/>
        <w:jc w:val="center"/>
        <w:rPr>
          <w:rFonts w:ascii="Times New Roman" w:hAnsi="Times New Roman" w:cs="Times New Roman"/>
          <w:i/>
          <w:iCs/>
          <w:sz w:val="20"/>
          <w:szCs w:val="20"/>
          <w:rtl/>
        </w:rPr>
      </w:pPr>
      <w:r w:rsidRPr="0089766D">
        <w:rPr>
          <w:rFonts w:ascii="Times New Roman" w:hAnsi="Times New Roman" w:cs="Times New Roman"/>
          <w:i/>
          <w:iCs/>
          <w:sz w:val="20"/>
          <w:szCs w:val="20"/>
          <w:rtl/>
        </w:rPr>
        <w:t>شاه علم – ماليزيا</w:t>
      </w:r>
    </w:p>
    <w:p w:rsidR="00E01BC5" w:rsidRPr="0089766D" w:rsidRDefault="0073589E" w:rsidP="003E4C64">
      <w:pPr>
        <w:spacing w:line="240" w:lineRule="auto"/>
        <w:jc w:val="center"/>
        <w:rPr>
          <w:rFonts w:ascii="Times New Roman" w:hAnsi="Times New Roman" w:cs="Times New Roman"/>
          <w:i/>
          <w:iCs/>
          <w:sz w:val="20"/>
          <w:szCs w:val="20"/>
        </w:rPr>
      </w:pPr>
      <w:r w:rsidRPr="0073589E">
        <w:rPr>
          <w:rFonts w:ascii="Times New Roman" w:hAnsi="Times New Roman" w:cs="Times New Roman"/>
          <w:i/>
          <w:iCs/>
          <w:sz w:val="20"/>
          <w:szCs w:val="20"/>
          <w:lang w:bidi="ar-EG"/>
        </w:rPr>
        <w:t>shadia@mediu.ws</w:t>
      </w:r>
    </w:p>
    <w:p w:rsidR="00E01BC5" w:rsidRDefault="00E01BC5" w:rsidP="003E4C64">
      <w:pPr>
        <w:spacing w:after="120" w:line="240" w:lineRule="auto"/>
        <w:jc w:val="lowKashida"/>
        <w:rPr>
          <w:rFonts w:ascii="Times New Roman" w:hAnsi="Times New Roman" w:cs="Times New Roman"/>
          <w:b/>
          <w:bCs/>
          <w:sz w:val="18"/>
          <w:szCs w:val="18"/>
          <w:rtl/>
        </w:rPr>
        <w:sectPr w:rsidR="00E01BC5" w:rsidSect="00BF7572">
          <w:pgSz w:w="11906" w:h="16838"/>
          <w:pgMar w:top="964" w:right="1021" w:bottom="964" w:left="1021" w:header="709" w:footer="709" w:gutter="0"/>
          <w:cols w:space="708"/>
          <w:bidi/>
          <w:rtlGutter/>
          <w:docGrid w:linePitch="360"/>
        </w:sectPr>
      </w:pPr>
    </w:p>
    <w:p w:rsidR="00E01BC5" w:rsidRPr="003E4C64" w:rsidRDefault="00E01BC5" w:rsidP="003E4C64">
      <w:pPr>
        <w:spacing w:after="120" w:line="240" w:lineRule="auto"/>
        <w:jc w:val="lowKashida"/>
        <w:rPr>
          <w:rFonts w:ascii="Times New Roman" w:hAnsi="Times New Roman" w:cs="Times New Roman"/>
          <w:b/>
          <w:bCs/>
          <w:sz w:val="18"/>
          <w:szCs w:val="18"/>
          <w:rtl/>
        </w:rPr>
      </w:pPr>
      <w:r w:rsidRPr="003E4C64">
        <w:rPr>
          <w:rFonts w:ascii="Times New Roman" w:hAnsi="Times New Roman" w:cs="Times New Roman"/>
          <w:b/>
          <w:bCs/>
          <w:sz w:val="18"/>
          <w:szCs w:val="18"/>
          <w:rtl/>
        </w:rPr>
        <w:lastRenderedPageBreak/>
        <w:t>خلاصة  -- هذا البحث يبحث في فساد الوضع</w:t>
      </w:r>
    </w:p>
    <w:p w:rsidR="00E01BC5" w:rsidRPr="003E4C64" w:rsidRDefault="00E01BC5" w:rsidP="003E4C64">
      <w:pPr>
        <w:spacing w:after="120" w:line="240" w:lineRule="auto"/>
        <w:jc w:val="lowKashida"/>
        <w:rPr>
          <w:rFonts w:ascii="Times New Roman" w:hAnsi="Times New Roman" w:cs="Times New Roman"/>
          <w:b/>
          <w:bCs/>
          <w:sz w:val="18"/>
          <w:szCs w:val="18"/>
          <w:rtl/>
        </w:rPr>
      </w:pPr>
      <w:r w:rsidRPr="003E4C64">
        <w:rPr>
          <w:rFonts w:ascii="Times New Roman" w:hAnsi="Times New Roman" w:cs="Times New Roman"/>
          <w:b/>
          <w:bCs/>
          <w:sz w:val="18"/>
          <w:szCs w:val="18"/>
          <w:rtl/>
        </w:rPr>
        <w:t xml:space="preserve">الكلمات </w:t>
      </w:r>
      <w:proofErr w:type="spellStart"/>
      <w:r w:rsidRPr="003E4C64">
        <w:rPr>
          <w:rFonts w:ascii="Times New Roman" w:hAnsi="Times New Roman" w:cs="Times New Roman"/>
          <w:b/>
          <w:bCs/>
          <w:sz w:val="18"/>
          <w:szCs w:val="18"/>
          <w:rtl/>
        </w:rPr>
        <w:t>المفتاحية</w:t>
      </w:r>
      <w:proofErr w:type="spellEnd"/>
      <w:r w:rsidRPr="003E4C64">
        <w:rPr>
          <w:rFonts w:ascii="Times New Roman" w:hAnsi="Times New Roman" w:cs="Times New Roman"/>
          <w:b/>
          <w:bCs/>
          <w:sz w:val="18"/>
          <w:szCs w:val="18"/>
          <w:rtl/>
        </w:rPr>
        <w:t xml:space="preserve"> : القادح ، الاقتراح ، التعجب</w:t>
      </w:r>
    </w:p>
    <w:p w:rsidR="00E01BC5" w:rsidRPr="003E4C64" w:rsidRDefault="00E01BC5" w:rsidP="003E4C64">
      <w:pPr>
        <w:pStyle w:val="a4"/>
        <w:numPr>
          <w:ilvl w:val="0"/>
          <w:numId w:val="2"/>
        </w:numPr>
        <w:spacing w:after="120"/>
        <w:jc w:val="center"/>
        <w:rPr>
          <w:b/>
          <w:bCs/>
          <w:sz w:val="18"/>
          <w:szCs w:val="18"/>
          <w:rtl/>
        </w:rPr>
      </w:pPr>
      <w:r w:rsidRPr="003E4C64">
        <w:rPr>
          <w:b/>
          <w:bCs/>
          <w:sz w:val="18"/>
          <w:szCs w:val="18"/>
          <w:rtl/>
        </w:rPr>
        <w:t>المقدمة</w:t>
      </w:r>
    </w:p>
    <w:p w:rsidR="00E01BC5" w:rsidRPr="003E4C64" w:rsidRDefault="00E01BC5" w:rsidP="003E4C64">
      <w:pPr>
        <w:pStyle w:val="a3"/>
        <w:bidi/>
        <w:spacing w:before="0" w:beforeAutospacing="0" w:after="120" w:afterAutospacing="0"/>
        <w:jc w:val="lowKashida"/>
        <w:rPr>
          <w:b/>
          <w:bCs/>
          <w:sz w:val="18"/>
          <w:szCs w:val="18"/>
          <w:rtl/>
        </w:rPr>
      </w:pPr>
      <w:r w:rsidRPr="003E4C64">
        <w:rPr>
          <w:b/>
          <w:bCs/>
          <w:sz w:val="18"/>
          <w:szCs w:val="18"/>
          <w:rtl/>
        </w:rPr>
        <w:t xml:space="preserve"> الحمد لله، والصلاة والسلام على سيدنا رسول الله، وعلى آله وصحبه ومن والاه، سوف نتحدث في هذا المقال عن فساد الوضع</w:t>
      </w:r>
    </w:p>
    <w:p w:rsidR="00E01BC5" w:rsidRPr="003E4C64" w:rsidRDefault="00E01BC5" w:rsidP="003E4C64">
      <w:pPr>
        <w:pStyle w:val="a3"/>
        <w:numPr>
          <w:ilvl w:val="0"/>
          <w:numId w:val="2"/>
        </w:numPr>
        <w:bidi/>
        <w:spacing w:before="0" w:beforeAutospacing="0" w:after="120" w:afterAutospacing="0"/>
        <w:jc w:val="center"/>
        <w:rPr>
          <w:b/>
          <w:bCs/>
          <w:sz w:val="18"/>
          <w:szCs w:val="18"/>
          <w:rtl/>
        </w:rPr>
      </w:pPr>
      <w:r w:rsidRPr="003E4C64">
        <w:rPr>
          <w:b/>
          <w:bCs/>
          <w:sz w:val="18"/>
          <w:szCs w:val="18"/>
          <w:rtl/>
        </w:rPr>
        <w:t>عنوان المقال</w:t>
      </w:r>
    </w:p>
    <w:p w:rsidR="00E01BC5" w:rsidRPr="003E4C64" w:rsidRDefault="00E01BC5" w:rsidP="003E4C64">
      <w:pPr>
        <w:pStyle w:val="a3"/>
        <w:bidi/>
        <w:spacing w:before="0" w:beforeAutospacing="0" w:after="120" w:afterAutospacing="0"/>
        <w:jc w:val="lowKashida"/>
        <w:rPr>
          <w:b/>
          <w:bCs/>
          <w:sz w:val="18"/>
          <w:szCs w:val="18"/>
        </w:rPr>
      </w:pPr>
      <w:r w:rsidRPr="003E4C64">
        <w:rPr>
          <w:b/>
          <w:bCs/>
          <w:sz w:val="18"/>
          <w:szCs w:val="18"/>
          <w:rtl/>
        </w:rPr>
        <w:t xml:space="preserve">عرف السيوطي هذا القادح في (الاقتراح) نقلًا عن أبي البركات </w:t>
      </w:r>
      <w:proofErr w:type="spellStart"/>
      <w:r w:rsidRPr="003E4C64">
        <w:rPr>
          <w:b/>
          <w:bCs/>
          <w:sz w:val="18"/>
          <w:szCs w:val="18"/>
          <w:rtl/>
        </w:rPr>
        <w:t>الأنباري</w:t>
      </w:r>
      <w:proofErr w:type="spellEnd"/>
      <w:r w:rsidRPr="003E4C64">
        <w:rPr>
          <w:b/>
          <w:bCs/>
          <w:sz w:val="18"/>
          <w:szCs w:val="18"/>
          <w:rtl/>
        </w:rPr>
        <w:t xml:space="preserve"> في (الإغراب في جدل الإعراب) فذكر أن معناه: أن يعلق –أي: المستدل- على العلة ضد المقتضَى، أي: أن يعلق عليها حكمًا مضادًّا لما تقتضيه. كأن يقول الكوفي: إنما جاز التعجب من السواد والبياض دون سائر الألوان؛ لأنهما أصلا الألوان. يعني: أنه يجوز أن يستعمل ما أفعله في التعجب من السواد والبياض خاصةً من بين سائر الألوان، نحو أن تقول: هذا الثوب ما أبيضه، وهذا الشعر ما أسوده، والعلة في هذا الحكم بالجواز أن السواد والبياض أصلا الألوان، ومنهما يتركب </w:t>
      </w:r>
      <w:proofErr w:type="spellStart"/>
      <w:r w:rsidRPr="003E4C64">
        <w:rPr>
          <w:b/>
          <w:bCs/>
          <w:sz w:val="18"/>
          <w:szCs w:val="18"/>
          <w:rtl/>
        </w:rPr>
        <w:t>سائرها</w:t>
      </w:r>
      <w:proofErr w:type="spellEnd"/>
      <w:r w:rsidRPr="003E4C64">
        <w:rPr>
          <w:b/>
          <w:bCs/>
          <w:sz w:val="18"/>
          <w:szCs w:val="18"/>
          <w:rtl/>
        </w:rPr>
        <w:t xml:space="preserve"> من الحمرة والصفرة والخضرة والصهبة </w:t>
      </w:r>
      <w:proofErr w:type="spellStart"/>
      <w:r w:rsidRPr="003E4C64">
        <w:rPr>
          <w:b/>
          <w:bCs/>
          <w:sz w:val="18"/>
          <w:szCs w:val="18"/>
          <w:rtl/>
        </w:rPr>
        <w:t>والشهبة</w:t>
      </w:r>
      <w:proofErr w:type="spellEnd"/>
      <w:r w:rsidRPr="003E4C64">
        <w:rPr>
          <w:b/>
          <w:bCs/>
          <w:sz w:val="18"/>
          <w:szCs w:val="18"/>
          <w:rtl/>
        </w:rPr>
        <w:t>، إلى غير ذلك، فإذا كانَا هما الأصلين للألوان كلها، جاز أن يثبت لهما ما لا يثبت لسائر الألوان، إذ كانا أصلين لها ومتقدمين عليها.</w:t>
      </w:r>
    </w:p>
    <w:p w:rsidR="00E01BC5" w:rsidRPr="003E4C64" w:rsidRDefault="00E01BC5" w:rsidP="003E4C64">
      <w:pPr>
        <w:pStyle w:val="a3"/>
        <w:bidi/>
        <w:spacing w:before="0" w:beforeAutospacing="0" w:after="120" w:afterAutospacing="0"/>
        <w:jc w:val="lowKashida"/>
        <w:rPr>
          <w:b/>
          <w:bCs/>
          <w:sz w:val="18"/>
          <w:szCs w:val="18"/>
          <w:rtl/>
        </w:rPr>
      </w:pPr>
      <w:r w:rsidRPr="003E4C64">
        <w:rPr>
          <w:b/>
          <w:bCs/>
          <w:sz w:val="18"/>
          <w:szCs w:val="18"/>
          <w:rtl/>
        </w:rPr>
        <w:t xml:space="preserve">فيقول له البصري: قد علقت على العلة –أي: التي ذكرتها- وهي كونهما أصلًا للألوان ضد المقتضى، أي: ضد مقتضاها أي: </w:t>
      </w:r>
      <w:proofErr w:type="spellStart"/>
      <w:r w:rsidRPr="003E4C64">
        <w:rPr>
          <w:b/>
          <w:bCs/>
          <w:sz w:val="18"/>
          <w:szCs w:val="18"/>
          <w:rtl/>
        </w:rPr>
        <w:t>مطلوبها</w:t>
      </w:r>
      <w:proofErr w:type="spellEnd"/>
      <w:r w:rsidRPr="003E4C64">
        <w:rPr>
          <w:b/>
          <w:bCs/>
          <w:sz w:val="18"/>
          <w:szCs w:val="18"/>
          <w:rtl/>
        </w:rPr>
        <w:t xml:space="preserve"> وما تقتضيه. فإن مقتضى كونهما أصلين </w:t>
      </w:r>
      <w:proofErr w:type="spellStart"/>
      <w:r w:rsidRPr="003E4C64">
        <w:rPr>
          <w:b/>
          <w:bCs/>
          <w:sz w:val="18"/>
          <w:szCs w:val="18"/>
          <w:rtl/>
        </w:rPr>
        <w:t>أبلغيتهما</w:t>
      </w:r>
      <w:proofErr w:type="spellEnd"/>
      <w:r w:rsidRPr="003E4C64">
        <w:rPr>
          <w:b/>
          <w:bCs/>
          <w:sz w:val="18"/>
          <w:szCs w:val="18"/>
          <w:rtl/>
        </w:rPr>
        <w:t xml:space="preserve"> في المنع؛ لأن التعجب إنما امتنع من سائر الألوان للزومها المحل، يعني: أن التعجب إنما يكون من حدوث أمر وعروضه، وهذه الألوان أشياء مستقرة في الشخص لا تكاد تزول عنه، فجرت مجرى أعضائه. وهذا المعنى في الأصل أبلغ منه في الفرع، أي: أن هذا المعنى وهو لزوم هذه الأشياء واستقرارها في الأصل، أبلغ؛ لقوته وشدته بالأصالة، فإذا لم يجز مما كان فرعًا لملازمته المحل فلأن لا يجوز مما كان أصلًا، وهو ملازم للمحل أولى، </w:t>
      </w:r>
      <w:r w:rsidRPr="003E4C64">
        <w:rPr>
          <w:b/>
          <w:bCs/>
          <w:sz w:val="18"/>
          <w:szCs w:val="18"/>
          <w:rtl/>
        </w:rPr>
        <w:lastRenderedPageBreak/>
        <w:t xml:space="preserve">أي: أحق بالمنع </w:t>
      </w:r>
      <w:proofErr w:type="spellStart"/>
      <w:r w:rsidRPr="003E4C64">
        <w:rPr>
          <w:b/>
          <w:bCs/>
          <w:sz w:val="18"/>
          <w:szCs w:val="18"/>
          <w:rtl/>
        </w:rPr>
        <w:t>لأبلغيته</w:t>
      </w:r>
      <w:proofErr w:type="spellEnd"/>
      <w:r w:rsidRPr="003E4C64">
        <w:rPr>
          <w:b/>
          <w:bCs/>
          <w:sz w:val="18"/>
          <w:szCs w:val="18"/>
          <w:rtl/>
        </w:rPr>
        <w:t xml:space="preserve"> فيه. والجواب: أن يبين عدم الضدية، أي: يبين له ألا تضاد بين العلة والحكم الذي تقتضيه، أو يسلم له، أي: للمعترض ذلك، أي: الضدية بين العلة والحكم، ويبين أنه –أي: كونه أصلها- يقتضي ما ذكره هو أيضًا من وجه آخر، أي: غير الوجه </w:t>
      </w:r>
      <w:proofErr w:type="spellStart"/>
      <w:r w:rsidRPr="003E4C64">
        <w:rPr>
          <w:b/>
          <w:bCs/>
          <w:sz w:val="18"/>
          <w:szCs w:val="18"/>
          <w:rtl/>
        </w:rPr>
        <w:t>المدخول</w:t>
      </w:r>
      <w:proofErr w:type="spellEnd"/>
      <w:r w:rsidRPr="003E4C64">
        <w:rPr>
          <w:b/>
          <w:bCs/>
          <w:sz w:val="18"/>
          <w:szCs w:val="18"/>
          <w:rtl/>
        </w:rPr>
        <w:t xml:space="preserve"> فيه.</w:t>
      </w:r>
    </w:p>
    <w:p w:rsidR="00E01BC5" w:rsidRPr="00D20229" w:rsidRDefault="00E01BC5" w:rsidP="00CB1698">
      <w:pPr>
        <w:spacing w:line="240" w:lineRule="auto"/>
        <w:jc w:val="center"/>
        <w:rPr>
          <w:rFonts w:ascii="Times New Roman" w:hAnsi="Times New Roman" w:cs="Times New Roman"/>
          <w:b/>
          <w:bCs/>
          <w:sz w:val="18"/>
          <w:szCs w:val="18"/>
          <w:rtl/>
        </w:rPr>
      </w:pPr>
      <w:r w:rsidRPr="00D20229">
        <w:rPr>
          <w:rFonts w:ascii="Times New Roman" w:hAnsi="Times New Roman" w:cs="Times New Roman"/>
          <w:b/>
          <w:bCs/>
          <w:sz w:val="18"/>
          <w:szCs w:val="18"/>
          <w:rtl/>
        </w:rPr>
        <w:t>المراجع والمصادر</w:t>
      </w:r>
    </w:p>
    <w:p w:rsidR="00E01BC5" w:rsidRPr="00D20229" w:rsidRDefault="00E01BC5" w:rsidP="00CB1698">
      <w:pPr>
        <w:numPr>
          <w:ilvl w:val="0"/>
          <w:numId w:val="1"/>
        </w:numPr>
        <w:spacing w:after="0" w:line="240" w:lineRule="auto"/>
        <w:jc w:val="lowKashida"/>
        <w:rPr>
          <w:rFonts w:cs="Times New Roman"/>
          <w:b/>
          <w:bCs/>
          <w:sz w:val="18"/>
          <w:szCs w:val="18"/>
          <w:rtl/>
        </w:rPr>
      </w:pPr>
      <w:r>
        <w:rPr>
          <w:rFonts w:ascii="Times New Roman" w:hAnsi="Times New Roman" w:cs="Times New Roman"/>
          <w:b/>
          <w:bCs/>
          <w:sz w:val="18"/>
          <w:szCs w:val="18"/>
          <w:rtl/>
        </w:rPr>
        <w:t xml:space="preserve">السيوطي، </w:t>
      </w:r>
      <w:r w:rsidRPr="00D20229">
        <w:rPr>
          <w:rFonts w:ascii="Times New Roman" w:hAnsi="Times New Roman" w:cs="Times New Roman"/>
          <w:b/>
          <w:bCs/>
          <w:sz w:val="18"/>
          <w:szCs w:val="18"/>
          <w:rtl/>
        </w:rPr>
        <w:t xml:space="preserve">جلال الدين عبد الرحمن السيوطي، (الاقتراح في علم أصول النحو) ،تحقيق طه عبد </w:t>
      </w:r>
      <w:proofErr w:type="spellStart"/>
      <w:r w:rsidRPr="00D20229">
        <w:rPr>
          <w:rFonts w:ascii="Times New Roman" w:hAnsi="Times New Roman" w:cs="Times New Roman"/>
          <w:b/>
          <w:bCs/>
          <w:sz w:val="18"/>
          <w:szCs w:val="18"/>
          <w:rtl/>
        </w:rPr>
        <w:t>الرؤوف</w:t>
      </w:r>
      <w:proofErr w:type="spellEnd"/>
      <w:r w:rsidRPr="00D20229">
        <w:rPr>
          <w:rFonts w:ascii="Times New Roman" w:hAnsi="Times New Roman" w:cs="Times New Roman"/>
          <w:b/>
          <w:bCs/>
          <w:sz w:val="18"/>
          <w:szCs w:val="18"/>
          <w:rtl/>
        </w:rPr>
        <w:t xml:space="preserve"> سعد، مكتبة الصفا، 1999م</w:t>
      </w:r>
    </w:p>
    <w:p w:rsidR="00E01BC5" w:rsidRPr="00D20229" w:rsidRDefault="00E01BC5" w:rsidP="00CB1698">
      <w:pPr>
        <w:numPr>
          <w:ilvl w:val="0"/>
          <w:numId w:val="1"/>
        </w:numPr>
        <w:spacing w:after="0" w:line="240" w:lineRule="auto"/>
        <w:jc w:val="lowKashida"/>
        <w:rPr>
          <w:rFonts w:ascii="Times New Roman" w:hAnsi="Times New Roman" w:cs="Times New Roman"/>
          <w:b/>
          <w:bCs/>
          <w:sz w:val="18"/>
          <w:szCs w:val="18"/>
          <w:rtl/>
        </w:rPr>
      </w:pPr>
      <w:r w:rsidRPr="00D20229">
        <w:rPr>
          <w:rFonts w:ascii="Times New Roman" w:hAnsi="Times New Roman" w:cs="Times New Roman"/>
          <w:b/>
          <w:bCs/>
          <w:sz w:val="18"/>
          <w:szCs w:val="18"/>
          <w:rtl/>
        </w:rPr>
        <w:t>محمود فجال، (الإصباح في شرح الاقتراح) ،دمشق، دار القلم، 1989م</w:t>
      </w:r>
      <w:r>
        <w:rPr>
          <w:rFonts w:ascii="Times New Roman" w:hAnsi="Times New Roman" w:cs="Times New Roman"/>
          <w:b/>
          <w:bCs/>
          <w:sz w:val="18"/>
          <w:szCs w:val="18"/>
          <w:rtl/>
        </w:rPr>
        <w:t>.</w:t>
      </w:r>
    </w:p>
    <w:p w:rsidR="00E01BC5" w:rsidRPr="00D20229" w:rsidRDefault="00E01BC5" w:rsidP="00CB1698">
      <w:pPr>
        <w:numPr>
          <w:ilvl w:val="0"/>
          <w:numId w:val="1"/>
        </w:numPr>
        <w:spacing w:after="0" w:line="240" w:lineRule="auto"/>
        <w:jc w:val="lowKashida"/>
        <w:rPr>
          <w:rFonts w:ascii="Times New Roman" w:hAnsi="Times New Roman" w:cs="Times New Roman"/>
          <w:b/>
          <w:bCs/>
          <w:sz w:val="18"/>
          <w:szCs w:val="18"/>
          <w:rtl/>
        </w:rPr>
      </w:pPr>
      <w:r w:rsidRPr="00D20229">
        <w:rPr>
          <w:rFonts w:ascii="Times New Roman" w:hAnsi="Times New Roman" w:cs="Times New Roman"/>
          <w:b/>
          <w:bCs/>
          <w:sz w:val="18"/>
          <w:szCs w:val="18"/>
          <w:rtl/>
        </w:rPr>
        <w:t>عثمان بن جني، (الخصائص) ،تحقيق محمد علي النجار، دار الكتاب العربي، 1953م</w:t>
      </w:r>
      <w:r>
        <w:rPr>
          <w:rFonts w:ascii="Times New Roman" w:hAnsi="Times New Roman" w:cs="Times New Roman"/>
          <w:b/>
          <w:bCs/>
          <w:sz w:val="18"/>
          <w:szCs w:val="18"/>
          <w:rtl/>
        </w:rPr>
        <w:t>.</w:t>
      </w:r>
    </w:p>
    <w:p w:rsidR="00E01BC5" w:rsidRPr="00D20229" w:rsidRDefault="00E01BC5" w:rsidP="00CB1698">
      <w:pPr>
        <w:numPr>
          <w:ilvl w:val="0"/>
          <w:numId w:val="1"/>
        </w:numPr>
        <w:spacing w:after="0" w:line="240" w:lineRule="auto"/>
        <w:jc w:val="lowKashida"/>
        <w:rPr>
          <w:rFonts w:ascii="Times New Roman" w:hAnsi="Times New Roman" w:cs="Times New Roman"/>
          <w:b/>
          <w:bCs/>
          <w:sz w:val="18"/>
          <w:szCs w:val="18"/>
        </w:rPr>
      </w:pPr>
      <w:r w:rsidRPr="00D20229">
        <w:rPr>
          <w:rFonts w:ascii="Times New Roman" w:hAnsi="Times New Roman" w:cs="Times New Roman"/>
          <w:b/>
          <w:bCs/>
          <w:sz w:val="18"/>
          <w:szCs w:val="18"/>
          <w:rtl/>
        </w:rPr>
        <w:t xml:space="preserve">أبي البركات </w:t>
      </w:r>
      <w:proofErr w:type="spellStart"/>
      <w:r w:rsidRPr="00D20229">
        <w:rPr>
          <w:rFonts w:ascii="Times New Roman" w:hAnsi="Times New Roman" w:cs="Times New Roman"/>
          <w:b/>
          <w:bCs/>
          <w:sz w:val="18"/>
          <w:szCs w:val="18"/>
          <w:rtl/>
        </w:rPr>
        <w:t>الأنباري</w:t>
      </w:r>
      <w:proofErr w:type="spellEnd"/>
      <w:r w:rsidRPr="00D20229">
        <w:rPr>
          <w:rFonts w:ascii="Times New Roman" w:hAnsi="Times New Roman" w:cs="Times New Roman"/>
          <w:b/>
          <w:bCs/>
          <w:sz w:val="18"/>
          <w:szCs w:val="18"/>
          <w:rtl/>
        </w:rPr>
        <w:t xml:space="preserve"> ، (الإغراب في جدول الإعراب) ،تحقيق سعيد الأفغاني ، مطبعة الجامعة السورية، 1957م</w:t>
      </w:r>
    </w:p>
    <w:p w:rsidR="00E01BC5" w:rsidRPr="00D20229" w:rsidRDefault="00E01BC5" w:rsidP="00CB1698">
      <w:pPr>
        <w:numPr>
          <w:ilvl w:val="0"/>
          <w:numId w:val="1"/>
        </w:numPr>
        <w:spacing w:after="0" w:line="240" w:lineRule="auto"/>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الأفغاني، </w:t>
      </w:r>
      <w:r w:rsidRPr="00D20229">
        <w:rPr>
          <w:rFonts w:ascii="Times New Roman" w:hAnsi="Times New Roman" w:cs="Times New Roman"/>
          <w:b/>
          <w:bCs/>
          <w:sz w:val="18"/>
          <w:szCs w:val="18"/>
          <w:rtl/>
        </w:rPr>
        <w:t>سعيد الأفغاني، (في أصول النحو)</w:t>
      </w:r>
      <w:r>
        <w:rPr>
          <w:rFonts w:ascii="Times New Roman" w:hAnsi="Times New Roman" w:cs="Times New Roman"/>
          <w:b/>
          <w:bCs/>
          <w:sz w:val="18"/>
          <w:szCs w:val="18"/>
          <w:rtl/>
        </w:rPr>
        <w:t xml:space="preserve"> ،بيروت، المكتب الإسلامي، 1987م.</w:t>
      </w:r>
    </w:p>
    <w:p w:rsidR="00E01BC5" w:rsidRPr="00D20229" w:rsidRDefault="00E01BC5" w:rsidP="00CB1698">
      <w:pPr>
        <w:numPr>
          <w:ilvl w:val="0"/>
          <w:numId w:val="1"/>
        </w:numPr>
        <w:spacing w:after="0" w:line="240" w:lineRule="auto"/>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سيبويه، </w:t>
      </w:r>
      <w:r w:rsidRPr="00D20229">
        <w:rPr>
          <w:rFonts w:ascii="Times New Roman" w:hAnsi="Times New Roman" w:cs="Times New Roman"/>
          <w:b/>
          <w:bCs/>
          <w:sz w:val="18"/>
          <w:szCs w:val="18"/>
          <w:rtl/>
        </w:rPr>
        <w:t xml:space="preserve">عمرو بن عثمان بن </w:t>
      </w:r>
      <w:proofErr w:type="spellStart"/>
      <w:r w:rsidRPr="00D20229">
        <w:rPr>
          <w:rFonts w:ascii="Times New Roman" w:hAnsi="Times New Roman" w:cs="Times New Roman"/>
          <w:b/>
          <w:bCs/>
          <w:sz w:val="18"/>
          <w:szCs w:val="18"/>
          <w:rtl/>
        </w:rPr>
        <w:t>قنبر</w:t>
      </w:r>
      <w:proofErr w:type="spellEnd"/>
      <w:r w:rsidRPr="00D20229">
        <w:rPr>
          <w:rFonts w:ascii="Times New Roman" w:hAnsi="Times New Roman" w:cs="Times New Roman"/>
          <w:b/>
          <w:bCs/>
          <w:sz w:val="18"/>
          <w:szCs w:val="18"/>
          <w:rtl/>
        </w:rPr>
        <w:t xml:space="preserve"> سيبويه، (كتاب سيبويه) ،تحقيق عبد السلام هارون، الهيئة المصرية العامة للكتاب،  1977م</w:t>
      </w:r>
      <w:r>
        <w:rPr>
          <w:rFonts w:ascii="Times New Roman" w:hAnsi="Times New Roman" w:cs="Times New Roman"/>
          <w:b/>
          <w:bCs/>
          <w:sz w:val="18"/>
          <w:szCs w:val="18"/>
          <w:rtl/>
        </w:rPr>
        <w:t>.</w:t>
      </w:r>
    </w:p>
    <w:p w:rsidR="00E01BC5" w:rsidRPr="00D20229" w:rsidRDefault="00E01BC5" w:rsidP="00CB1698">
      <w:pPr>
        <w:numPr>
          <w:ilvl w:val="0"/>
          <w:numId w:val="1"/>
        </w:numPr>
        <w:spacing w:after="0" w:line="240" w:lineRule="auto"/>
        <w:jc w:val="lowKashida"/>
        <w:rPr>
          <w:rFonts w:ascii="Times New Roman" w:hAnsi="Times New Roman" w:cs="Times New Roman"/>
          <w:b/>
          <w:bCs/>
          <w:sz w:val="18"/>
          <w:szCs w:val="18"/>
          <w:rtl/>
        </w:rPr>
      </w:pPr>
      <w:proofErr w:type="spellStart"/>
      <w:r>
        <w:rPr>
          <w:rFonts w:ascii="Times New Roman" w:hAnsi="Times New Roman" w:cs="Times New Roman"/>
          <w:b/>
          <w:bCs/>
          <w:sz w:val="18"/>
          <w:szCs w:val="18"/>
          <w:rtl/>
        </w:rPr>
        <w:t>الأنباري</w:t>
      </w:r>
      <w:proofErr w:type="spellEnd"/>
      <w:r>
        <w:rPr>
          <w:rFonts w:ascii="Times New Roman" w:hAnsi="Times New Roman" w:cs="Times New Roman"/>
          <w:b/>
          <w:bCs/>
          <w:sz w:val="18"/>
          <w:szCs w:val="18"/>
          <w:rtl/>
        </w:rPr>
        <w:t xml:space="preserve">، </w:t>
      </w:r>
      <w:r w:rsidRPr="00D20229">
        <w:rPr>
          <w:rFonts w:ascii="Times New Roman" w:hAnsi="Times New Roman" w:cs="Times New Roman"/>
          <w:b/>
          <w:bCs/>
          <w:sz w:val="18"/>
          <w:szCs w:val="18"/>
          <w:rtl/>
        </w:rPr>
        <w:t xml:space="preserve">أبي البركات </w:t>
      </w:r>
      <w:proofErr w:type="spellStart"/>
      <w:r w:rsidRPr="00D20229">
        <w:rPr>
          <w:rFonts w:ascii="Times New Roman" w:hAnsi="Times New Roman" w:cs="Times New Roman"/>
          <w:b/>
          <w:bCs/>
          <w:sz w:val="18"/>
          <w:szCs w:val="18"/>
          <w:rtl/>
        </w:rPr>
        <w:t>الأنباري</w:t>
      </w:r>
      <w:proofErr w:type="spellEnd"/>
      <w:r w:rsidRPr="00D20229">
        <w:rPr>
          <w:rFonts w:ascii="Times New Roman" w:hAnsi="Times New Roman" w:cs="Times New Roman"/>
          <w:b/>
          <w:bCs/>
          <w:sz w:val="18"/>
          <w:szCs w:val="18"/>
          <w:rtl/>
        </w:rPr>
        <w:t xml:space="preserve">،  (لمع الأدلة في أصول النحو) ،تحقيق سعيد الأفغاني،  مطبعة الجامعة </w:t>
      </w:r>
      <w:proofErr w:type="spellStart"/>
      <w:r w:rsidRPr="00D20229">
        <w:rPr>
          <w:rFonts w:ascii="Times New Roman" w:hAnsi="Times New Roman" w:cs="Times New Roman"/>
          <w:b/>
          <w:bCs/>
          <w:sz w:val="18"/>
          <w:szCs w:val="18"/>
          <w:rtl/>
        </w:rPr>
        <w:t>السوورية</w:t>
      </w:r>
      <w:proofErr w:type="spellEnd"/>
      <w:r w:rsidRPr="00D20229">
        <w:rPr>
          <w:rFonts w:ascii="Times New Roman" w:hAnsi="Times New Roman" w:cs="Times New Roman"/>
          <w:b/>
          <w:bCs/>
          <w:sz w:val="18"/>
          <w:szCs w:val="18"/>
          <w:rtl/>
        </w:rPr>
        <w:t>،  1957م</w:t>
      </w:r>
      <w:r>
        <w:rPr>
          <w:rFonts w:ascii="Times New Roman" w:hAnsi="Times New Roman" w:cs="Times New Roman"/>
          <w:b/>
          <w:bCs/>
          <w:sz w:val="18"/>
          <w:szCs w:val="18"/>
          <w:rtl/>
        </w:rPr>
        <w:t>.</w:t>
      </w:r>
    </w:p>
    <w:p w:rsidR="00E01BC5" w:rsidRPr="00D20229" w:rsidRDefault="00E01BC5" w:rsidP="00CB1698">
      <w:pPr>
        <w:numPr>
          <w:ilvl w:val="0"/>
          <w:numId w:val="1"/>
        </w:numPr>
        <w:spacing w:after="0" w:line="240" w:lineRule="auto"/>
        <w:jc w:val="lowKashida"/>
        <w:rPr>
          <w:rFonts w:ascii="Times New Roman" w:hAnsi="Times New Roman" w:cs="Times New Roman"/>
          <w:b/>
          <w:bCs/>
          <w:sz w:val="18"/>
          <w:szCs w:val="18"/>
        </w:rPr>
      </w:pPr>
      <w:r>
        <w:rPr>
          <w:rFonts w:ascii="Times New Roman" w:hAnsi="Times New Roman" w:cs="Times New Roman"/>
          <w:b/>
          <w:bCs/>
          <w:sz w:val="18"/>
          <w:szCs w:val="18"/>
          <w:rtl/>
        </w:rPr>
        <w:t xml:space="preserve">الأفغاني، </w:t>
      </w:r>
      <w:r w:rsidRPr="00D20229">
        <w:rPr>
          <w:rFonts w:ascii="Times New Roman" w:hAnsi="Times New Roman" w:cs="Times New Roman"/>
          <w:b/>
          <w:bCs/>
          <w:sz w:val="18"/>
          <w:szCs w:val="18"/>
          <w:rtl/>
        </w:rPr>
        <w:t>سعيد الأفغاني، (من تاريخ النحو) ، دار الفكر، 1978م</w:t>
      </w:r>
    </w:p>
    <w:p w:rsidR="00E01BC5" w:rsidRPr="00D20229" w:rsidRDefault="00E01BC5" w:rsidP="00CB1698">
      <w:pPr>
        <w:numPr>
          <w:ilvl w:val="0"/>
          <w:numId w:val="1"/>
        </w:numPr>
        <w:spacing w:after="0" w:line="240" w:lineRule="auto"/>
        <w:jc w:val="lowKashida"/>
        <w:rPr>
          <w:rFonts w:ascii="Times New Roman" w:hAnsi="Times New Roman" w:cs="Times New Roman"/>
          <w:b/>
          <w:bCs/>
          <w:sz w:val="18"/>
          <w:szCs w:val="18"/>
        </w:rPr>
      </w:pPr>
      <w:r>
        <w:rPr>
          <w:rFonts w:ascii="Times New Roman" w:hAnsi="Times New Roman" w:cs="Times New Roman"/>
          <w:b/>
          <w:bCs/>
          <w:sz w:val="18"/>
          <w:szCs w:val="18"/>
          <w:rtl/>
        </w:rPr>
        <w:t xml:space="preserve">المبارك، </w:t>
      </w:r>
      <w:r w:rsidRPr="00D20229">
        <w:rPr>
          <w:rFonts w:ascii="Times New Roman" w:hAnsi="Times New Roman" w:cs="Times New Roman"/>
          <w:b/>
          <w:bCs/>
          <w:sz w:val="18"/>
          <w:szCs w:val="18"/>
          <w:rtl/>
        </w:rPr>
        <w:t>مازن المبارك، (النحو العربي  العلة النحوية نشأتها وتطورها) ،دار الفكر، 1981م</w:t>
      </w:r>
      <w:r>
        <w:rPr>
          <w:rFonts w:ascii="Times New Roman" w:hAnsi="Times New Roman" w:cs="Times New Roman"/>
          <w:b/>
          <w:bCs/>
          <w:sz w:val="18"/>
          <w:szCs w:val="18"/>
          <w:rtl/>
        </w:rPr>
        <w:t>.</w:t>
      </w:r>
    </w:p>
    <w:p w:rsidR="00E01BC5" w:rsidRPr="003E4C64" w:rsidRDefault="00E01BC5" w:rsidP="00CB1698">
      <w:pPr>
        <w:pStyle w:val="a4"/>
        <w:numPr>
          <w:ilvl w:val="0"/>
          <w:numId w:val="1"/>
        </w:numPr>
        <w:jc w:val="both"/>
        <w:rPr>
          <w:b/>
          <w:bCs/>
          <w:sz w:val="18"/>
          <w:szCs w:val="18"/>
        </w:rPr>
      </w:pPr>
      <w:r>
        <w:rPr>
          <w:b/>
          <w:bCs/>
          <w:sz w:val="18"/>
          <w:szCs w:val="18"/>
          <w:rtl/>
        </w:rPr>
        <w:t xml:space="preserve">الطنطاوي، </w:t>
      </w:r>
      <w:r w:rsidRPr="00D20229">
        <w:rPr>
          <w:b/>
          <w:bCs/>
          <w:sz w:val="18"/>
          <w:szCs w:val="18"/>
          <w:rtl/>
        </w:rPr>
        <w:t>محمد الطنطاوي، (نشأة النحو وتاريخ أشهر النحاة) ,القاهرة، مطبعة وادي الملوك، 1954م</w:t>
      </w:r>
      <w:r>
        <w:rPr>
          <w:b/>
          <w:bCs/>
          <w:sz w:val="18"/>
          <w:szCs w:val="18"/>
          <w:rtl/>
        </w:rPr>
        <w:t>.</w:t>
      </w:r>
    </w:p>
    <w:p w:rsidR="00E01BC5" w:rsidRDefault="00E01BC5" w:rsidP="003E4C64">
      <w:pPr>
        <w:pStyle w:val="a3"/>
        <w:bidi/>
        <w:spacing w:before="0" w:beforeAutospacing="0" w:after="120" w:afterAutospacing="0"/>
        <w:jc w:val="lowKashida"/>
        <w:rPr>
          <w:sz w:val="32"/>
          <w:szCs w:val="32"/>
          <w:rtl/>
        </w:rPr>
        <w:sectPr w:rsidR="00E01BC5" w:rsidSect="003E4C64">
          <w:type w:val="continuous"/>
          <w:pgSz w:w="11906" w:h="16838"/>
          <w:pgMar w:top="964" w:right="1021" w:bottom="964" w:left="1021" w:header="709" w:footer="709" w:gutter="0"/>
          <w:cols w:num="2" w:space="708"/>
          <w:bidi/>
          <w:rtlGutter/>
          <w:docGrid w:linePitch="360"/>
        </w:sectPr>
      </w:pPr>
    </w:p>
    <w:p w:rsidR="00E01BC5" w:rsidRPr="003E4C64" w:rsidRDefault="00E01BC5" w:rsidP="003E4C64">
      <w:pPr>
        <w:pStyle w:val="a3"/>
        <w:bidi/>
        <w:spacing w:before="0" w:beforeAutospacing="0" w:after="120" w:afterAutospacing="0"/>
        <w:jc w:val="lowKashida"/>
        <w:rPr>
          <w:sz w:val="32"/>
          <w:szCs w:val="32"/>
          <w:rtl/>
        </w:rPr>
      </w:pPr>
    </w:p>
    <w:p w:rsidR="00E01BC5" w:rsidRPr="001D6929" w:rsidRDefault="00E01BC5" w:rsidP="003E4C64">
      <w:pPr>
        <w:spacing w:after="120" w:line="240" w:lineRule="auto"/>
        <w:jc w:val="lowKashida"/>
        <w:rPr>
          <w:rFonts w:ascii="Times New Roman" w:hAnsi="Times New Roman" w:cs="Times New Roman"/>
          <w:sz w:val="32"/>
          <w:szCs w:val="32"/>
          <w:rtl/>
        </w:rPr>
      </w:pPr>
    </w:p>
    <w:p w:rsidR="00E01BC5" w:rsidRPr="001D6929" w:rsidRDefault="00E01BC5" w:rsidP="003E4C64">
      <w:pPr>
        <w:spacing w:after="120" w:line="240" w:lineRule="auto"/>
        <w:jc w:val="lowKashida"/>
        <w:rPr>
          <w:rFonts w:ascii="Times New Roman" w:hAnsi="Times New Roman" w:cs="Times New Roman"/>
          <w:sz w:val="32"/>
          <w:szCs w:val="32"/>
          <w:rtl/>
        </w:rPr>
      </w:pPr>
    </w:p>
    <w:p w:rsidR="00E01BC5" w:rsidRPr="003E4C64" w:rsidRDefault="00E01BC5" w:rsidP="003E4C64">
      <w:pPr>
        <w:spacing w:line="240" w:lineRule="auto"/>
      </w:pPr>
    </w:p>
    <w:sectPr w:rsidR="00E01BC5" w:rsidRPr="003E4C64" w:rsidSect="003E4C6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0044C"/>
    <w:multiLevelType w:val="hybridMultilevel"/>
    <w:tmpl w:val="755E18EA"/>
    <w:lvl w:ilvl="0" w:tplc="2BEA3038">
      <w:start w:val="1"/>
      <w:numFmt w:val="upperRoman"/>
      <w:lvlText w:val="%1."/>
      <w:lvlJc w:val="left"/>
      <w:pPr>
        <w:ind w:left="770" w:hanging="360"/>
      </w:pPr>
      <w:rPr>
        <w:rFonts w:cs="Times New Roman" w:hint="default"/>
      </w:rPr>
    </w:lvl>
    <w:lvl w:ilvl="1" w:tplc="04090019">
      <w:start w:val="1"/>
      <w:numFmt w:val="lowerLetter"/>
      <w:lvlText w:val="%2."/>
      <w:lvlJc w:val="left"/>
      <w:pPr>
        <w:ind w:left="1490" w:hanging="360"/>
      </w:pPr>
      <w:rPr>
        <w:rFonts w:cs="Times New Roman"/>
      </w:rPr>
    </w:lvl>
    <w:lvl w:ilvl="2" w:tplc="0409001B">
      <w:start w:val="1"/>
      <w:numFmt w:val="lowerRoman"/>
      <w:lvlText w:val="%3."/>
      <w:lvlJc w:val="right"/>
      <w:pPr>
        <w:ind w:left="2210" w:hanging="180"/>
      </w:pPr>
      <w:rPr>
        <w:rFonts w:cs="Times New Roman"/>
      </w:rPr>
    </w:lvl>
    <w:lvl w:ilvl="3" w:tplc="0409000F">
      <w:start w:val="1"/>
      <w:numFmt w:val="decimal"/>
      <w:lvlText w:val="%4."/>
      <w:lvlJc w:val="left"/>
      <w:pPr>
        <w:ind w:left="2930" w:hanging="360"/>
      </w:pPr>
      <w:rPr>
        <w:rFonts w:cs="Times New Roman"/>
      </w:rPr>
    </w:lvl>
    <w:lvl w:ilvl="4" w:tplc="04090019">
      <w:start w:val="1"/>
      <w:numFmt w:val="lowerLetter"/>
      <w:lvlText w:val="%5."/>
      <w:lvlJc w:val="left"/>
      <w:pPr>
        <w:ind w:left="3650" w:hanging="360"/>
      </w:pPr>
      <w:rPr>
        <w:rFonts w:cs="Times New Roman"/>
      </w:rPr>
    </w:lvl>
    <w:lvl w:ilvl="5" w:tplc="0409001B">
      <w:start w:val="1"/>
      <w:numFmt w:val="lowerRoman"/>
      <w:lvlText w:val="%6."/>
      <w:lvlJc w:val="right"/>
      <w:pPr>
        <w:ind w:left="4370" w:hanging="180"/>
      </w:pPr>
      <w:rPr>
        <w:rFonts w:cs="Times New Roman"/>
      </w:rPr>
    </w:lvl>
    <w:lvl w:ilvl="6" w:tplc="0409000F">
      <w:start w:val="1"/>
      <w:numFmt w:val="decimal"/>
      <w:lvlText w:val="%7."/>
      <w:lvlJc w:val="left"/>
      <w:pPr>
        <w:ind w:left="5090" w:hanging="360"/>
      </w:pPr>
      <w:rPr>
        <w:rFonts w:cs="Times New Roman"/>
      </w:rPr>
    </w:lvl>
    <w:lvl w:ilvl="7" w:tplc="04090019">
      <w:start w:val="1"/>
      <w:numFmt w:val="lowerLetter"/>
      <w:lvlText w:val="%8."/>
      <w:lvlJc w:val="left"/>
      <w:pPr>
        <w:ind w:left="5810" w:hanging="360"/>
      </w:pPr>
      <w:rPr>
        <w:rFonts w:cs="Times New Roman"/>
      </w:rPr>
    </w:lvl>
    <w:lvl w:ilvl="8" w:tplc="0409001B">
      <w:start w:val="1"/>
      <w:numFmt w:val="lowerRoman"/>
      <w:lvlText w:val="%9."/>
      <w:lvlJc w:val="right"/>
      <w:pPr>
        <w:ind w:left="6530" w:hanging="180"/>
      </w:pPr>
      <w:rPr>
        <w:rFonts w:cs="Times New Roman"/>
      </w:rPr>
    </w:lvl>
  </w:abstractNum>
  <w:abstractNum w:abstractNumId="1">
    <w:nsid w:val="5BFC139A"/>
    <w:multiLevelType w:val="hybridMultilevel"/>
    <w:tmpl w:val="67405A98"/>
    <w:lvl w:ilvl="0" w:tplc="9CA63CCC">
      <w:start w:val="1"/>
      <w:numFmt w:val="decimal"/>
      <w:lvlText w:val="%1."/>
      <w:lvlJc w:val="left"/>
      <w:pPr>
        <w:tabs>
          <w:tab w:val="num" w:pos="567"/>
        </w:tabs>
        <w:ind w:left="567" w:hanging="20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oNotTrackMove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C64"/>
    <w:rsid w:val="00072584"/>
    <w:rsid w:val="001D6929"/>
    <w:rsid w:val="00294A2D"/>
    <w:rsid w:val="003E4C64"/>
    <w:rsid w:val="004E70E7"/>
    <w:rsid w:val="00514443"/>
    <w:rsid w:val="006E2A40"/>
    <w:rsid w:val="0073589E"/>
    <w:rsid w:val="007E277A"/>
    <w:rsid w:val="0089766D"/>
    <w:rsid w:val="008F6590"/>
    <w:rsid w:val="009556CB"/>
    <w:rsid w:val="00BF7572"/>
    <w:rsid w:val="00CB1698"/>
    <w:rsid w:val="00D20229"/>
    <w:rsid w:val="00E01BC5"/>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E4C6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3E4C64"/>
    <w:pPr>
      <w:spacing w:after="0" w:line="240" w:lineRule="auto"/>
      <w:ind w:left="720"/>
    </w:pPr>
    <w:rPr>
      <w:rFonts w:ascii="Times New Roman" w:eastAsia="Times New Roman" w:hAnsi="Times New Roman" w:cs="Times New Roman"/>
      <w:sz w:val="24"/>
      <w:szCs w:val="24"/>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mohmed 2</dc:creator>
  <cp:keywords/>
  <dc:description/>
  <cp:lastModifiedBy>A</cp:lastModifiedBy>
  <cp:revision>3</cp:revision>
  <dcterms:created xsi:type="dcterms:W3CDTF">2013-06-11T12:00:00Z</dcterms:created>
  <dcterms:modified xsi:type="dcterms:W3CDTF">2013-06-19T13:10:00Z</dcterms:modified>
</cp:coreProperties>
</file>