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39" w:rsidRDefault="00853F39" w:rsidP="002D3119">
      <w:pPr>
        <w:spacing w:line="240" w:lineRule="auto"/>
        <w:jc w:val="center"/>
        <w:rPr>
          <w:rtl/>
        </w:rPr>
      </w:pPr>
      <w:r w:rsidRPr="00BC5C5D">
        <w:rPr>
          <w:rFonts w:ascii="Times New Roman" w:hAnsi="Times New Roman" w:cs="Times New Roman"/>
          <w:i/>
          <w:iCs/>
          <w:sz w:val="48"/>
          <w:szCs w:val="48"/>
          <w:rtl/>
        </w:rPr>
        <w:t>أمثلة من احتجاج النحويين بعدم النظير</w:t>
      </w:r>
    </w:p>
    <w:p w:rsidR="00853F39" w:rsidRPr="00294A2D" w:rsidRDefault="00853F39" w:rsidP="002D3119">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853F39" w:rsidRPr="00294A2D" w:rsidRDefault="00853F39" w:rsidP="001524F0">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1524F0" w:rsidRPr="001524F0">
        <w:rPr>
          <w:rFonts w:ascii="Times New Roman" w:hAnsi="Times New Roman" w:cs="Times New Roman"/>
          <w:i/>
          <w:iCs/>
          <w:rtl/>
          <w:lang w:bidi="ar-EG"/>
        </w:rPr>
        <w:t>محمد سعد حسن</w:t>
      </w:r>
    </w:p>
    <w:p w:rsidR="00853F39" w:rsidRPr="0089766D" w:rsidRDefault="00853F39" w:rsidP="002D3119">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853F39" w:rsidRPr="0089766D" w:rsidRDefault="00853F39" w:rsidP="002D3119">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853F39" w:rsidRPr="0089766D" w:rsidRDefault="00853F39" w:rsidP="002D3119">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853F39" w:rsidRPr="0089766D" w:rsidRDefault="001524F0" w:rsidP="002D3119">
      <w:pPr>
        <w:spacing w:line="240" w:lineRule="auto"/>
        <w:jc w:val="center"/>
        <w:rPr>
          <w:rFonts w:ascii="Times New Roman" w:hAnsi="Times New Roman" w:cs="Times New Roman"/>
          <w:i/>
          <w:iCs/>
          <w:sz w:val="20"/>
          <w:szCs w:val="20"/>
        </w:rPr>
      </w:pPr>
      <w:r w:rsidRPr="001524F0">
        <w:rPr>
          <w:rFonts w:ascii="Times New Roman" w:hAnsi="Times New Roman" w:cs="Times New Roman"/>
          <w:i/>
          <w:iCs/>
          <w:lang w:bidi="ar-EG"/>
        </w:rPr>
        <w:t>mohamad.saad@mediu.ws</w:t>
      </w:r>
    </w:p>
    <w:p w:rsidR="00853F39" w:rsidRDefault="00853F39" w:rsidP="002D3119">
      <w:pPr>
        <w:spacing w:after="120" w:line="240" w:lineRule="auto"/>
        <w:jc w:val="lowKashida"/>
        <w:rPr>
          <w:rFonts w:ascii="Times New Roman" w:hAnsi="Times New Roman" w:cs="Times New Roman"/>
          <w:b/>
          <w:bCs/>
          <w:sz w:val="18"/>
          <w:szCs w:val="18"/>
          <w:rtl/>
        </w:rPr>
        <w:sectPr w:rsidR="00853F39" w:rsidSect="00BF7572">
          <w:pgSz w:w="11906" w:h="16838"/>
          <w:pgMar w:top="964" w:right="1021" w:bottom="964" w:left="1021" w:header="709" w:footer="709" w:gutter="0"/>
          <w:cols w:space="708"/>
          <w:bidi/>
          <w:rtlGutter/>
          <w:docGrid w:linePitch="360"/>
        </w:sectPr>
      </w:pPr>
    </w:p>
    <w:p w:rsidR="00853F39" w:rsidRPr="002D3119" w:rsidRDefault="00853F39" w:rsidP="002D3119">
      <w:pPr>
        <w:spacing w:after="120" w:line="240" w:lineRule="auto"/>
        <w:jc w:val="lowKashida"/>
        <w:rPr>
          <w:rFonts w:ascii="Times New Roman" w:hAnsi="Times New Roman" w:cs="Times New Roman"/>
          <w:b/>
          <w:bCs/>
          <w:sz w:val="18"/>
          <w:szCs w:val="18"/>
          <w:rtl/>
        </w:rPr>
      </w:pPr>
      <w:r w:rsidRPr="002D3119">
        <w:rPr>
          <w:rFonts w:ascii="Times New Roman" w:hAnsi="Times New Roman" w:cs="Times New Roman"/>
          <w:b/>
          <w:bCs/>
          <w:sz w:val="18"/>
          <w:szCs w:val="18"/>
          <w:rtl/>
        </w:rPr>
        <w:lastRenderedPageBreak/>
        <w:t>خلاصة  -- هذا البحث يبحث في أمثلة من احتجاج النحويين بعدم النظير</w:t>
      </w:r>
    </w:p>
    <w:p w:rsidR="00853F39" w:rsidRPr="002D3119" w:rsidRDefault="00853F39" w:rsidP="002D3119">
      <w:pPr>
        <w:spacing w:after="120" w:line="240" w:lineRule="auto"/>
        <w:jc w:val="lowKashida"/>
        <w:rPr>
          <w:rFonts w:ascii="Times New Roman" w:hAnsi="Times New Roman" w:cs="Times New Roman"/>
          <w:b/>
          <w:bCs/>
          <w:sz w:val="18"/>
          <w:szCs w:val="18"/>
          <w:rtl/>
        </w:rPr>
      </w:pPr>
      <w:r w:rsidRPr="002D3119">
        <w:rPr>
          <w:rFonts w:ascii="Times New Roman" w:hAnsi="Times New Roman" w:cs="Times New Roman"/>
          <w:b/>
          <w:bCs/>
          <w:sz w:val="18"/>
          <w:szCs w:val="18"/>
          <w:rtl/>
        </w:rPr>
        <w:t xml:space="preserve">الكلمات </w:t>
      </w:r>
      <w:proofErr w:type="spellStart"/>
      <w:r w:rsidRPr="002D3119">
        <w:rPr>
          <w:rFonts w:ascii="Times New Roman" w:hAnsi="Times New Roman" w:cs="Times New Roman"/>
          <w:b/>
          <w:bCs/>
          <w:sz w:val="18"/>
          <w:szCs w:val="18"/>
          <w:rtl/>
        </w:rPr>
        <w:t>المفتاحية</w:t>
      </w:r>
      <w:proofErr w:type="spellEnd"/>
      <w:r w:rsidRPr="002D3119">
        <w:rPr>
          <w:rFonts w:ascii="Times New Roman" w:hAnsi="Times New Roman" w:cs="Times New Roman"/>
          <w:b/>
          <w:bCs/>
          <w:sz w:val="18"/>
          <w:szCs w:val="18"/>
          <w:rtl/>
        </w:rPr>
        <w:t xml:space="preserve"> : الكلام ، عدم النظير ، الخليل وسيبويه</w:t>
      </w:r>
    </w:p>
    <w:p w:rsidR="00853F39" w:rsidRPr="002D3119" w:rsidRDefault="00853F39" w:rsidP="002D3119">
      <w:pPr>
        <w:pStyle w:val="a4"/>
        <w:numPr>
          <w:ilvl w:val="0"/>
          <w:numId w:val="3"/>
        </w:numPr>
        <w:spacing w:after="120"/>
        <w:jc w:val="center"/>
        <w:rPr>
          <w:b/>
          <w:bCs/>
          <w:sz w:val="18"/>
          <w:szCs w:val="18"/>
          <w:rtl/>
        </w:rPr>
      </w:pPr>
      <w:r w:rsidRPr="002D3119">
        <w:rPr>
          <w:b/>
          <w:bCs/>
          <w:sz w:val="18"/>
          <w:szCs w:val="18"/>
          <w:rtl/>
        </w:rPr>
        <w:t>المقدمة</w:t>
      </w:r>
    </w:p>
    <w:p w:rsidR="00853F39" w:rsidRPr="002D3119" w:rsidRDefault="00853F39" w:rsidP="002D3119">
      <w:pPr>
        <w:pStyle w:val="a3"/>
        <w:bidi/>
        <w:spacing w:before="0" w:beforeAutospacing="0" w:after="120" w:afterAutospacing="0"/>
        <w:jc w:val="lowKashida"/>
        <w:rPr>
          <w:b/>
          <w:bCs/>
          <w:sz w:val="18"/>
          <w:szCs w:val="18"/>
          <w:rtl/>
        </w:rPr>
      </w:pPr>
      <w:r w:rsidRPr="002D3119">
        <w:rPr>
          <w:b/>
          <w:bCs/>
          <w:sz w:val="18"/>
          <w:szCs w:val="18"/>
          <w:rtl/>
        </w:rPr>
        <w:t xml:space="preserve"> الحمد لله، والصلاة والسلام على سيدنا رسول الله، وعلى آله وصحبه ومن والاه، سوف نتحدث في هذا المقال عن أمثلة من احتجاج النحويين بعدم النظير</w:t>
      </w:r>
    </w:p>
    <w:p w:rsidR="00853F39" w:rsidRPr="002D3119" w:rsidRDefault="00853F39" w:rsidP="002D3119">
      <w:pPr>
        <w:pStyle w:val="a3"/>
        <w:numPr>
          <w:ilvl w:val="0"/>
          <w:numId w:val="3"/>
        </w:numPr>
        <w:bidi/>
        <w:spacing w:before="0" w:beforeAutospacing="0" w:after="120" w:afterAutospacing="0"/>
        <w:jc w:val="center"/>
        <w:rPr>
          <w:b/>
          <w:bCs/>
          <w:sz w:val="18"/>
          <w:szCs w:val="18"/>
          <w:rtl/>
        </w:rPr>
      </w:pPr>
      <w:r w:rsidRPr="002D3119">
        <w:rPr>
          <w:b/>
          <w:bCs/>
          <w:sz w:val="18"/>
          <w:szCs w:val="18"/>
          <w:rtl/>
        </w:rPr>
        <w:t>عنوان المقال</w:t>
      </w:r>
    </w:p>
    <w:p w:rsidR="00853F39" w:rsidRPr="002D3119" w:rsidRDefault="00853F39" w:rsidP="008C7CE0">
      <w:pPr>
        <w:pStyle w:val="a3"/>
        <w:bidi/>
        <w:spacing w:before="0" w:beforeAutospacing="0" w:after="120" w:afterAutospacing="0"/>
        <w:jc w:val="lowKashida"/>
        <w:rPr>
          <w:b/>
          <w:bCs/>
          <w:sz w:val="18"/>
          <w:szCs w:val="18"/>
          <w:rtl/>
        </w:rPr>
      </w:pPr>
      <w:r w:rsidRPr="002D3119">
        <w:rPr>
          <w:b/>
          <w:bCs/>
          <w:sz w:val="18"/>
          <w:szCs w:val="18"/>
          <w:rtl/>
        </w:rPr>
        <w:t>إذ قد انتهينا إلى معرفة أن النظير يحتاج إليه إذا لم يكن هناك دليل، فإننا نشير إلى أن النحويين قد احتجوا كثيرًا بعدم النظير، وردوا ما لا نظيرَ له في الكلام. والأمثلة على ذلك في النحو والصرف كثيرة جدًّا، نذكر منها ما يلي:</w:t>
      </w:r>
      <w:r w:rsidRPr="002D3119">
        <w:rPr>
          <w:b/>
          <w:bCs/>
          <w:sz w:val="18"/>
          <w:szCs w:val="18"/>
        </w:rPr>
        <w:br/>
      </w:r>
      <w:r w:rsidRPr="002D3119">
        <w:rPr>
          <w:b/>
          <w:bCs/>
          <w:color w:val="000080"/>
          <w:sz w:val="18"/>
          <w:szCs w:val="18"/>
          <w:rtl/>
        </w:rPr>
        <w:t>أولًا:</w:t>
      </w:r>
      <w:r w:rsidRPr="002D3119">
        <w:rPr>
          <w:b/>
          <w:bCs/>
          <w:sz w:val="18"/>
          <w:szCs w:val="18"/>
          <w:rtl/>
        </w:rPr>
        <w:t xml:space="preserve"> ما استدل </w:t>
      </w:r>
      <w:proofErr w:type="spellStart"/>
      <w:r w:rsidRPr="002D3119">
        <w:rPr>
          <w:b/>
          <w:bCs/>
          <w:sz w:val="18"/>
          <w:szCs w:val="18"/>
          <w:rtl/>
        </w:rPr>
        <w:t>به</w:t>
      </w:r>
      <w:proofErr w:type="spellEnd"/>
      <w:r w:rsidRPr="002D3119">
        <w:rPr>
          <w:b/>
          <w:bCs/>
          <w:sz w:val="18"/>
          <w:szCs w:val="18"/>
          <w:rtl/>
        </w:rPr>
        <w:t xml:space="preserve"> المازني ردًّا على من زعم أن السين وسوف ترفعان الفعل المضارع، فقد رد المازني هذا القول: بأنه لا يوجد في العربية عامل في الفعل تدخل عليه اللام، والمراد </w:t>
      </w:r>
      <w:proofErr w:type="spellStart"/>
      <w:r w:rsidRPr="002D3119">
        <w:rPr>
          <w:b/>
          <w:bCs/>
          <w:sz w:val="18"/>
          <w:szCs w:val="18"/>
          <w:rtl/>
        </w:rPr>
        <w:t>بها</w:t>
      </w:r>
      <w:proofErr w:type="spellEnd"/>
      <w:r w:rsidRPr="002D3119">
        <w:rPr>
          <w:b/>
          <w:bCs/>
          <w:sz w:val="18"/>
          <w:szCs w:val="18"/>
          <w:rtl/>
        </w:rPr>
        <w:t xml:space="preserve"> لام الابتداء، وقد دخلت اللام على سوف في قوله تعالى: </w:t>
      </w:r>
      <w:r w:rsidRPr="002D3119">
        <w:rPr>
          <w:b/>
          <w:bCs/>
          <w:color w:val="008000"/>
          <w:sz w:val="18"/>
          <w:szCs w:val="18"/>
          <w:rtl/>
        </w:rPr>
        <w:t>{</w:t>
      </w:r>
      <w:r w:rsidRPr="00BE592C">
        <w:rPr>
          <w:rFonts w:ascii="QCF_P596" w:hAnsi="QCF_P596" w:cs="QCF_P596"/>
          <w:color w:val="008000"/>
          <w:sz w:val="18"/>
          <w:szCs w:val="18"/>
          <w:rtl/>
        </w:rPr>
        <w:t xml:space="preserve"> ﮄ ﮅ ﮆ ﮇ</w:t>
      </w:r>
      <w:r w:rsidRPr="00BE592C">
        <w:rPr>
          <w:b/>
          <w:bCs/>
          <w:color w:val="008000"/>
          <w:sz w:val="18"/>
          <w:szCs w:val="18"/>
          <w:rtl/>
        </w:rPr>
        <w:t xml:space="preserve"> </w:t>
      </w:r>
      <w:r w:rsidRPr="002D3119">
        <w:rPr>
          <w:b/>
          <w:bCs/>
          <w:color w:val="008000"/>
          <w:sz w:val="18"/>
          <w:szCs w:val="18"/>
          <w:rtl/>
        </w:rPr>
        <w:t xml:space="preserve">} </w:t>
      </w:r>
      <w:r w:rsidRPr="002D3119">
        <w:rPr>
          <w:b/>
          <w:bCs/>
          <w:sz w:val="18"/>
          <w:szCs w:val="18"/>
          <w:rtl/>
        </w:rPr>
        <w:t xml:space="preserve">[الضحى: 5]، فالقول بعمل سوف يُفضي إلى عدم النظير. قال ابن جني في (الخصائص): "قال أبو عثمان – يعني: المازني- في الرد على مَن ادعى أن السين وسوف ترفعان الأفعال المضارعة: لم نرَ عاملًا في الفعل تدخل عليه اللام، وقد قال سبحانه: </w:t>
      </w:r>
      <w:r w:rsidRPr="002D3119">
        <w:rPr>
          <w:b/>
          <w:bCs/>
          <w:color w:val="008000"/>
          <w:sz w:val="18"/>
          <w:szCs w:val="18"/>
          <w:rtl/>
        </w:rPr>
        <w:t>{</w:t>
      </w:r>
      <w:r w:rsidRPr="008C7CE0">
        <w:rPr>
          <w:rFonts w:ascii="QCF_P369" w:hAnsi="QCF_P369" w:cs="QCF_P369"/>
          <w:color w:val="008000"/>
          <w:sz w:val="20"/>
          <w:szCs w:val="20"/>
          <w:rtl/>
        </w:rPr>
        <w:t>ﮢ ﮣ</w:t>
      </w:r>
      <w:r w:rsidRPr="002D3119">
        <w:rPr>
          <w:b/>
          <w:bCs/>
          <w:color w:val="008000"/>
          <w:sz w:val="18"/>
          <w:szCs w:val="18"/>
          <w:rtl/>
        </w:rPr>
        <w:t xml:space="preserve">} </w:t>
      </w:r>
      <w:r w:rsidRPr="002D3119">
        <w:rPr>
          <w:b/>
          <w:bCs/>
          <w:sz w:val="18"/>
          <w:szCs w:val="18"/>
          <w:rtl/>
        </w:rPr>
        <w:t>[الشعراء: 49] فجعل عدم النظير ردًّا على مَنْ أنكر قوله". انتهى.</w:t>
      </w:r>
    </w:p>
    <w:p w:rsidR="00853F39" w:rsidRPr="002D3119" w:rsidRDefault="00853F39" w:rsidP="002D3119">
      <w:pPr>
        <w:pStyle w:val="a3"/>
        <w:bidi/>
        <w:spacing w:before="0" w:beforeAutospacing="0" w:after="120" w:afterAutospacing="0"/>
        <w:jc w:val="lowKashida"/>
        <w:rPr>
          <w:b/>
          <w:bCs/>
          <w:sz w:val="18"/>
          <w:szCs w:val="18"/>
        </w:rPr>
      </w:pPr>
      <w:r w:rsidRPr="002D3119">
        <w:rPr>
          <w:b/>
          <w:bCs/>
          <w:color w:val="000080"/>
          <w:sz w:val="18"/>
          <w:szCs w:val="18"/>
          <w:rtl/>
        </w:rPr>
        <w:t>ثانيًا:</w:t>
      </w:r>
      <w:r w:rsidRPr="002D3119">
        <w:rPr>
          <w:b/>
          <w:bCs/>
          <w:sz w:val="18"/>
          <w:szCs w:val="18"/>
          <w:rtl/>
        </w:rPr>
        <w:t xml:space="preserve"> ما احتج </w:t>
      </w:r>
      <w:proofErr w:type="spellStart"/>
      <w:r w:rsidRPr="002D3119">
        <w:rPr>
          <w:b/>
          <w:bCs/>
          <w:sz w:val="18"/>
          <w:szCs w:val="18"/>
          <w:rtl/>
        </w:rPr>
        <w:t>به</w:t>
      </w:r>
      <w:proofErr w:type="spellEnd"/>
      <w:r w:rsidRPr="002D3119">
        <w:rPr>
          <w:b/>
          <w:bCs/>
          <w:sz w:val="18"/>
          <w:szCs w:val="18"/>
          <w:rtl/>
        </w:rPr>
        <w:t xml:space="preserve"> المبرد على رد قول الخليل وسيبويه: بأن اسم لا النافية للجنس إذا كان مثنى أو مجموعًا جمعًا سالمًا لمذكر نحو: لا غلامين في الدار، ونحو: لا ناصرين لعدو، يكون مبنيًّا مركبًا مع لا، وتكون لا مع اسمها في موضع رفع بالابتداء. قال سيبويه: "وترك التنوين لما تعمل فيه لازم أي: لما تعمل فيه لا النافية للجنس؛ لأنها جعلت وما عملت فيه بمنزلة اسم واحد، نحو: خمسة عشر، ولا وما تعمل فيه في موضع ابتداء، وقال: واعلم أن المنفي الواحد إذا لم يل </w:t>
      </w:r>
      <w:proofErr w:type="spellStart"/>
      <w:r w:rsidRPr="002D3119">
        <w:rPr>
          <w:b/>
          <w:bCs/>
          <w:sz w:val="18"/>
          <w:szCs w:val="18"/>
          <w:rtl/>
        </w:rPr>
        <w:t>لك</w:t>
      </w:r>
      <w:proofErr w:type="spellEnd"/>
      <w:r w:rsidRPr="002D3119">
        <w:rPr>
          <w:b/>
          <w:bCs/>
          <w:sz w:val="18"/>
          <w:szCs w:val="18"/>
          <w:rtl/>
        </w:rPr>
        <w:t>، فإنما يذهَب منه التنوين كما أُذهب من آخر خمسة عشر لا كما أذهب من المضاف، والدليل على ذلك أن العرب تقول: لا غلامين عندك، ولا غلامين فيها، ولا أب فيها، وأثبتوا النون؛ لأن النون لا تُحذف من الاسم الذي يُجعل وما قبله أو وما بعده بمنزلة اسم واحد، ألا تراهم قالوا: الذين في الدار، فجعلوا الذين وما بعده من الكلام بمنزلة اسمين جعلَا اسمًا واحدًا، ولم يحذفوا النون؛ لأنها لا تجيء على حد التنوين، ألا تراها تدخل في الألف واللام وما لا ينصرف". انتهى.</w:t>
      </w:r>
    </w:p>
    <w:p w:rsidR="00853F39" w:rsidRPr="002D3119" w:rsidRDefault="00853F39" w:rsidP="002D3119">
      <w:pPr>
        <w:pStyle w:val="a3"/>
        <w:bidi/>
        <w:spacing w:before="0" w:beforeAutospacing="0" w:after="120" w:afterAutospacing="0"/>
        <w:jc w:val="lowKashida"/>
        <w:rPr>
          <w:b/>
          <w:bCs/>
          <w:sz w:val="18"/>
          <w:szCs w:val="18"/>
        </w:rPr>
      </w:pPr>
      <w:r w:rsidRPr="002D3119">
        <w:rPr>
          <w:b/>
          <w:bCs/>
          <w:sz w:val="18"/>
          <w:szCs w:val="18"/>
          <w:rtl/>
        </w:rPr>
        <w:t xml:space="preserve">فقال المبرد في (المقتضب): "وكان الخليل وسيبويه يزعمان أنك إذا قلت: لا غلامين </w:t>
      </w:r>
      <w:proofErr w:type="spellStart"/>
      <w:r w:rsidRPr="002D3119">
        <w:rPr>
          <w:b/>
          <w:bCs/>
          <w:sz w:val="18"/>
          <w:szCs w:val="18"/>
          <w:rtl/>
        </w:rPr>
        <w:t>لك</w:t>
      </w:r>
      <w:proofErr w:type="spellEnd"/>
      <w:r w:rsidRPr="002D3119">
        <w:rPr>
          <w:b/>
          <w:bCs/>
          <w:sz w:val="18"/>
          <w:szCs w:val="18"/>
          <w:rtl/>
        </w:rPr>
        <w:t xml:space="preserve">، أن غلامين مع لا اسم واحد وتثبت النون كما تثبت مع الألف واللام، وفي تثنية ما لا ينصرف وجمعه، نحو قولك: هذان أحمران، وهذان المسلمان، فالتنوين لا يثبت في واحد من الموضعين، فرقوا بين النون والتنوين، واعتلوا بما ذكرت </w:t>
      </w:r>
      <w:proofErr w:type="spellStart"/>
      <w:r w:rsidRPr="002D3119">
        <w:rPr>
          <w:b/>
          <w:bCs/>
          <w:sz w:val="18"/>
          <w:szCs w:val="18"/>
          <w:rtl/>
        </w:rPr>
        <w:t>لك</w:t>
      </w:r>
      <w:proofErr w:type="spellEnd"/>
      <w:r w:rsidRPr="002D3119">
        <w:rPr>
          <w:b/>
          <w:bCs/>
          <w:sz w:val="18"/>
          <w:szCs w:val="18"/>
          <w:rtl/>
        </w:rPr>
        <w:t xml:space="preserve">، وليس القول عندي كذلك؛ لأن الأسماء </w:t>
      </w:r>
      <w:proofErr w:type="spellStart"/>
      <w:r w:rsidRPr="002D3119">
        <w:rPr>
          <w:b/>
          <w:bCs/>
          <w:sz w:val="18"/>
          <w:szCs w:val="18"/>
          <w:rtl/>
        </w:rPr>
        <w:t>المثناة</w:t>
      </w:r>
      <w:proofErr w:type="spellEnd"/>
      <w:r w:rsidRPr="002D3119">
        <w:rPr>
          <w:b/>
          <w:bCs/>
          <w:sz w:val="18"/>
          <w:szCs w:val="18"/>
          <w:rtl/>
        </w:rPr>
        <w:t xml:space="preserve"> والمجموعة بالواو والنون لا تكون مع ما قبلها اسمًا واحدًا، لم يوجد ذلك". انتهى ما قاله المبرد. وقال ابن يعيش في (شرح المفصل) ملقيًا الضوء على هذا الخلاف: "وتقول: لا غلامين </w:t>
      </w:r>
      <w:proofErr w:type="spellStart"/>
      <w:r w:rsidRPr="002D3119">
        <w:rPr>
          <w:b/>
          <w:bCs/>
          <w:sz w:val="18"/>
          <w:szCs w:val="18"/>
          <w:rtl/>
        </w:rPr>
        <w:t>لك</w:t>
      </w:r>
      <w:proofErr w:type="spellEnd"/>
      <w:r w:rsidRPr="002D3119">
        <w:rPr>
          <w:b/>
          <w:bCs/>
          <w:sz w:val="18"/>
          <w:szCs w:val="18"/>
          <w:rtl/>
        </w:rPr>
        <w:t xml:space="preserve">، ولا ناصرين لزيد، فالاسم المنفي مبني مع لا بناء خمسة عشر كما كان كذلك في قولك: لا أب </w:t>
      </w:r>
      <w:proofErr w:type="spellStart"/>
      <w:r w:rsidRPr="002D3119">
        <w:rPr>
          <w:b/>
          <w:bCs/>
          <w:sz w:val="18"/>
          <w:szCs w:val="18"/>
          <w:rtl/>
        </w:rPr>
        <w:t>لك</w:t>
      </w:r>
      <w:proofErr w:type="spellEnd"/>
      <w:r w:rsidRPr="002D3119">
        <w:rPr>
          <w:b/>
          <w:bCs/>
          <w:sz w:val="18"/>
          <w:szCs w:val="18"/>
          <w:rtl/>
        </w:rPr>
        <w:t>؛ لأن الموضع موضع بناء لا مانعَ من ذلك، وتثبت النون فيه كما تثبت مع الألف واللام وتثنية ما لا ينصرف، نحو قولك: هذان أحمران، وهذان المسلمان، والتنوين لا يثبت في واحد من الموضعين؛ وذلك لقوة النون مع الحركة، هذا مذهب الخليل وسيبويه".</w:t>
      </w:r>
    </w:p>
    <w:p w:rsidR="00853F39" w:rsidRPr="002D3119" w:rsidRDefault="00853F39" w:rsidP="002D3119">
      <w:pPr>
        <w:pStyle w:val="a3"/>
        <w:bidi/>
        <w:spacing w:before="0" w:beforeAutospacing="0" w:after="120" w:afterAutospacing="0"/>
        <w:jc w:val="lowKashida"/>
        <w:rPr>
          <w:b/>
          <w:bCs/>
          <w:sz w:val="18"/>
          <w:szCs w:val="18"/>
        </w:rPr>
      </w:pPr>
      <w:r w:rsidRPr="002D3119">
        <w:rPr>
          <w:b/>
          <w:bCs/>
          <w:sz w:val="18"/>
          <w:szCs w:val="18"/>
          <w:rtl/>
        </w:rPr>
        <w:t xml:space="preserve">وذهب أبو العباس المبرد: إلى أنهما معربان وليسا مبنيين مع لا"، وذكر ابن يعيش عبارة المبرد، ثم عقَّب عليها بقوله: "وهذا –أي: كلام المبرد- إشارة إلى عدم النظير". انتهى ما قاله ابن يعيش. أي: أن المبرد رد مذهب الخليل وسيبويه بأنه يؤدي إلى عدم النظير، وهو تركيب الأسماء </w:t>
      </w:r>
      <w:proofErr w:type="spellStart"/>
      <w:r w:rsidRPr="002D3119">
        <w:rPr>
          <w:b/>
          <w:bCs/>
          <w:sz w:val="18"/>
          <w:szCs w:val="18"/>
          <w:rtl/>
        </w:rPr>
        <w:t>المثناة</w:t>
      </w:r>
      <w:proofErr w:type="spellEnd"/>
      <w:r w:rsidRPr="002D3119">
        <w:rPr>
          <w:b/>
          <w:bCs/>
          <w:sz w:val="18"/>
          <w:szCs w:val="18"/>
          <w:rtl/>
        </w:rPr>
        <w:t xml:space="preserve"> والمجموعة مع ما قبلها.</w:t>
      </w:r>
    </w:p>
    <w:p w:rsidR="00853F39" w:rsidRPr="002D3119" w:rsidRDefault="00853F39" w:rsidP="002D3119">
      <w:pPr>
        <w:pStyle w:val="a3"/>
        <w:bidi/>
        <w:spacing w:before="0" w:beforeAutospacing="0" w:after="120" w:afterAutospacing="0"/>
        <w:jc w:val="lowKashida"/>
        <w:rPr>
          <w:b/>
          <w:bCs/>
          <w:sz w:val="18"/>
          <w:szCs w:val="18"/>
        </w:rPr>
      </w:pPr>
      <w:r w:rsidRPr="002D3119">
        <w:rPr>
          <w:b/>
          <w:bCs/>
          <w:color w:val="000080"/>
          <w:sz w:val="18"/>
          <w:szCs w:val="18"/>
          <w:rtl/>
        </w:rPr>
        <w:t>ثالثًا:</w:t>
      </w:r>
      <w:r w:rsidRPr="002D3119">
        <w:rPr>
          <w:b/>
          <w:bCs/>
          <w:sz w:val="18"/>
          <w:szCs w:val="18"/>
          <w:rtl/>
        </w:rPr>
        <w:t xml:space="preserve"> ما احتج </w:t>
      </w:r>
      <w:proofErr w:type="spellStart"/>
      <w:r w:rsidRPr="002D3119">
        <w:rPr>
          <w:b/>
          <w:bCs/>
          <w:sz w:val="18"/>
          <w:szCs w:val="18"/>
          <w:rtl/>
        </w:rPr>
        <w:t>به</w:t>
      </w:r>
      <w:proofErr w:type="spellEnd"/>
      <w:r w:rsidRPr="002D3119">
        <w:rPr>
          <w:b/>
          <w:bCs/>
          <w:sz w:val="18"/>
          <w:szCs w:val="18"/>
          <w:rtl/>
        </w:rPr>
        <w:t xml:space="preserve"> ابن السرَّاج على رد إجازة الكوفيين نصب واقفًا على الخبر في نحو قولك: مررت بزيد واقفًا، وإجازتهم إدخال الألف واللام فيه، قال: "وتقول: مررت بزيد واقفًا، فتنصب واقفًا على الحال، والكوفيون يجيزون نصبه على </w:t>
      </w:r>
      <w:r w:rsidRPr="002D3119">
        <w:rPr>
          <w:b/>
          <w:bCs/>
          <w:sz w:val="18"/>
          <w:szCs w:val="18"/>
          <w:rtl/>
        </w:rPr>
        <w:lastRenderedPageBreak/>
        <w:t xml:space="preserve">الخبر، يجعلونه كنصب خبر كان وخبر الظن، ويجيزون فيه إدخال الألف واللام، ويكون: مررت عندهم، على ضربين: مررت بزيد، فتكون تامة، ومررت بزيد أخاك، فتكون ناقصة إن أسقطت الأخ كنقصان كان إذا قلت: كان زيد أخاك، ثم أسقطت الأخ، كان ناقصًا حتى تجيء </w:t>
      </w:r>
      <w:proofErr w:type="spellStart"/>
      <w:r w:rsidRPr="002D3119">
        <w:rPr>
          <w:b/>
          <w:bCs/>
          <w:sz w:val="18"/>
          <w:szCs w:val="18"/>
          <w:rtl/>
        </w:rPr>
        <w:t>به</w:t>
      </w:r>
      <w:proofErr w:type="spellEnd"/>
      <w:r w:rsidRPr="002D3119">
        <w:rPr>
          <w:b/>
          <w:bCs/>
          <w:sz w:val="18"/>
          <w:szCs w:val="18"/>
          <w:rtl/>
        </w:rPr>
        <w:t>. وهذا الذي أجازوه غير معروف عندي من كلام العرب، ولا موجود فيما يوجبه القياس"، انتهى. فقوله: "غير معروف..." إلى آخره إشارة إلى عدم النظير.</w:t>
      </w:r>
    </w:p>
    <w:p w:rsidR="00853F39" w:rsidRPr="002D3119" w:rsidRDefault="00853F39" w:rsidP="002D3119">
      <w:pPr>
        <w:pStyle w:val="a3"/>
        <w:bidi/>
        <w:spacing w:before="0" w:beforeAutospacing="0" w:after="120" w:afterAutospacing="0"/>
        <w:jc w:val="lowKashida"/>
        <w:rPr>
          <w:b/>
          <w:bCs/>
          <w:sz w:val="18"/>
          <w:szCs w:val="18"/>
        </w:rPr>
      </w:pPr>
      <w:r w:rsidRPr="002D3119">
        <w:rPr>
          <w:b/>
          <w:bCs/>
          <w:color w:val="000080"/>
          <w:sz w:val="18"/>
          <w:szCs w:val="18"/>
          <w:rtl/>
        </w:rPr>
        <w:t>رابعًا:</w:t>
      </w:r>
      <w:r w:rsidRPr="002D3119">
        <w:rPr>
          <w:b/>
          <w:bCs/>
          <w:sz w:val="18"/>
          <w:szCs w:val="18"/>
          <w:rtl/>
        </w:rPr>
        <w:t xml:space="preserve"> ما احتج </w:t>
      </w:r>
      <w:proofErr w:type="spellStart"/>
      <w:r w:rsidRPr="002D3119">
        <w:rPr>
          <w:b/>
          <w:bCs/>
          <w:sz w:val="18"/>
          <w:szCs w:val="18"/>
          <w:rtl/>
        </w:rPr>
        <w:t>به</w:t>
      </w:r>
      <w:proofErr w:type="spellEnd"/>
      <w:r w:rsidRPr="002D3119">
        <w:rPr>
          <w:b/>
          <w:bCs/>
          <w:sz w:val="18"/>
          <w:szCs w:val="18"/>
          <w:rtl/>
        </w:rPr>
        <w:t xml:space="preserve"> أبو علي الفارسي على مَن قال: إن النون في شيطان زائدة، واستدل على أن لفظ شيطان على وزن فَيعال مثل لفظ بيطار، وليس على وزن فعلان؛ اعتمادًا على ما حكاه سيبويه عن العرب من قولهم: شيطنته فتشيطن، فلو كان من شاط يشيط لكان شيطنته فتشيطن: </w:t>
      </w:r>
      <w:proofErr w:type="spellStart"/>
      <w:r w:rsidRPr="002D3119">
        <w:rPr>
          <w:b/>
          <w:bCs/>
          <w:sz w:val="18"/>
          <w:szCs w:val="18"/>
          <w:rtl/>
        </w:rPr>
        <w:t>فعلنته</w:t>
      </w:r>
      <w:proofErr w:type="spellEnd"/>
      <w:r w:rsidRPr="002D3119">
        <w:rPr>
          <w:b/>
          <w:bCs/>
          <w:sz w:val="18"/>
          <w:szCs w:val="18"/>
          <w:rtl/>
        </w:rPr>
        <w:t xml:space="preserve"> فتفعلن، ولا نعلم هذا الوزن جاء في كلامهم، مما يدلك على أنه على وزن </w:t>
      </w:r>
      <w:proofErr w:type="spellStart"/>
      <w:r w:rsidRPr="002D3119">
        <w:rPr>
          <w:b/>
          <w:bCs/>
          <w:sz w:val="18"/>
          <w:szCs w:val="18"/>
          <w:rtl/>
        </w:rPr>
        <w:t>فيعلته</w:t>
      </w:r>
      <w:proofErr w:type="spellEnd"/>
      <w:r w:rsidRPr="002D3119">
        <w:rPr>
          <w:b/>
          <w:bCs/>
          <w:sz w:val="18"/>
          <w:szCs w:val="18"/>
          <w:rtl/>
        </w:rPr>
        <w:t xml:space="preserve"> مثل </w:t>
      </w:r>
      <w:proofErr w:type="spellStart"/>
      <w:r w:rsidRPr="002D3119">
        <w:rPr>
          <w:b/>
          <w:bCs/>
          <w:sz w:val="18"/>
          <w:szCs w:val="18"/>
          <w:rtl/>
        </w:rPr>
        <w:t>بيطرته</w:t>
      </w:r>
      <w:proofErr w:type="spellEnd"/>
      <w:r w:rsidRPr="002D3119">
        <w:rPr>
          <w:b/>
          <w:bCs/>
          <w:sz w:val="18"/>
          <w:szCs w:val="18"/>
          <w:rtl/>
        </w:rPr>
        <w:t xml:space="preserve">، ووجه الاستدلال بما ذكره أبو علي أنه استدل على أصالة النون في لفظ شيطان بما حكاه سيبويه عن العرب من قولهم: تشيطن، وهو على وزن </w:t>
      </w:r>
      <w:proofErr w:type="spellStart"/>
      <w:r w:rsidRPr="002D3119">
        <w:rPr>
          <w:b/>
          <w:bCs/>
          <w:sz w:val="18"/>
          <w:szCs w:val="18"/>
          <w:rtl/>
        </w:rPr>
        <w:t>تفيعل</w:t>
      </w:r>
      <w:proofErr w:type="spellEnd"/>
      <w:r w:rsidRPr="002D3119">
        <w:rPr>
          <w:b/>
          <w:bCs/>
          <w:sz w:val="18"/>
          <w:szCs w:val="18"/>
          <w:rtl/>
        </w:rPr>
        <w:t xml:space="preserve"> لا تفعلن، إذ ليس من أبنيتهم تفعلن، فالنون هي لام الكلمة، فَحَمَلَ أبو علي لفظ تشيطن على ما له نظير نحو: </w:t>
      </w:r>
      <w:proofErr w:type="spellStart"/>
      <w:r w:rsidRPr="002D3119">
        <w:rPr>
          <w:b/>
          <w:bCs/>
          <w:sz w:val="18"/>
          <w:szCs w:val="18"/>
          <w:rtl/>
        </w:rPr>
        <w:t>تدهقن</w:t>
      </w:r>
      <w:proofErr w:type="spellEnd"/>
      <w:r w:rsidRPr="002D3119">
        <w:rPr>
          <w:b/>
          <w:bCs/>
          <w:sz w:val="18"/>
          <w:szCs w:val="18"/>
          <w:rtl/>
        </w:rPr>
        <w:t xml:space="preserve"> أي: صار </w:t>
      </w:r>
      <w:proofErr w:type="spellStart"/>
      <w:r w:rsidRPr="002D3119">
        <w:rPr>
          <w:b/>
          <w:bCs/>
          <w:sz w:val="18"/>
          <w:szCs w:val="18"/>
          <w:rtl/>
        </w:rPr>
        <w:t>دِهقانًا</w:t>
      </w:r>
      <w:proofErr w:type="spellEnd"/>
      <w:r w:rsidRPr="002D3119">
        <w:rPr>
          <w:b/>
          <w:bCs/>
          <w:sz w:val="18"/>
          <w:szCs w:val="18"/>
          <w:rtl/>
        </w:rPr>
        <w:t>، وهو رئيس القرية أو الكثير المال، ولم يحمله على ما لا نظير له في كلامهم.</w:t>
      </w:r>
    </w:p>
    <w:p w:rsidR="00853F39" w:rsidRPr="002D3119" w:rsidRDefault="00853F39" w:rsidP="002D3119">
      <w:pPr>
        <w:pStyle w:val="a3"/>
        <w:bidi/>
        <w:spacing w:before="0" w:beforeAutospacing="0" w:after="120" w:afterAutospacing="0"/>
        <w:jc w:val="lowKashida"/>
        <w:rPr>
          <w:b/>
          <w:bCs/>
          <w:sz w:val="18"/>
          <w:szCs w:val="18"/>
        </w:rPr>
      </w:pPr>
      <w:r w:rsidRPr="002D3119">
        <w:rPr>
          <w:b/>
          <w:bCs/>
          <w:color w:val="000080"/>
          <w:sz w:val="18"/>
          <w:szCs w:val="18"/>
          <w:rtl/>
        </w:rPr>
        <w:t>خامسًا:</w:t>
      </w:r>
      <w:r w:rsidRPr="002D3119">
        <w:rPr>
          <w:b/>
          <w:bCs/>
          <w:sz w:val="18"/>
          <w:szCs w:val="18"/>
          <w:rtl/>
        </w:rPr>
        <w:t xml:space="preserve"> ما احتج </w:t>
      </w:r>
      <w:proofErr w:type="spellStart"/>
      <w:r w:rsidRPr="002D3119">
        <w:rPr>
          <w:b/>
          <w:bCs/>
          <w:sz w:val="18"/>
          <w:szCs w:val="18"/>
          <w:rtl/>
        </w:rPr>
        <w:t>به</w:t>
      </w:r>
      <w:proofErr w:type="spellEnd"/>
      <w:r w:rsidRPr="002D3119">
        <w:rPr>
          <w:b/>
          <w:bCs/>
          <w:sz w:val="18"/>
          <w:szCs w:val="18"/>
          <w:rtl/>
        </w:rPr>
        <w:t xml:space="preserve"> ابن جني على رد قول المازني: "إن الواو في حيوان أصلية وغير منقلبة عن ياء"، ورَد عليه: بأن ما عينه ياء ولامه واو غير موجود في الكلام ولا نظير له، وذكر أن ما أجازه المازني مخالف للخليل وسيبويه؛ لأنهما يريان أن أصل حيوان حَيَيَان بياءين، فقلبت الياء الواقعة لامًا واوًا؛ استكراهًا لتوالي ياءين، ولا نعرف في الكلام ما عينه ياء ولامه واو، فذلك لا نظير له، فلا بد أن تكون الواو بدلًا من ياء.</w:t>
      </w:r>
    </w:p>
    <w:p w:rsidR="00853F39" w:rsidRPr="002D3119" w:rsidRDefault="00853F39" w:rsidP="002D3119">
      <w:pPr>
        <w:pStyle w:val="a3"/>
        <w:bidi/>
        <w:spacing w:before="0" w:beforeAutospacing="0" w:after="120" w:afterAutospacing="0"/>
        <w:jc w:val="lowKashida"/>
        <w:rPr>
          <w:b/>
          <w:bCs/>
          <w:sz w:val="18"/>
          <w:szCs w:val="18"/>
        </w:rPr>
      </w:pPr>
      <w:r w:rsidRPr="002D3119">
        <w:rPr>
          <w:b/>
          <w:bCs/>
          <w:color w:val="000080"/>
          <w:sz w:val="18"/>
          <w:szCs w:val="18"/>
          <w:rtl/>
        </w:rPr>
        <w:t>سادسًا:</w:t>
      </w:r>
      <w:r w:rsidRPr="002D3119">
        <w:rPr>
          <w:b/>
          <w:bCs/>
          <w:sz w:val="18"/>
          <w:szCs w:val="18"/>
          <w:rtl/>
        </w:rPr>
        <w:t xml:space="preserve"> ما احتج </w:t>
      </w:r>
      <w:proofErr w:type="spellStart"/>
      <w:r w:rsidRPr="002D3119">
        <w:rPr>
          <w:b/>
          <w:bCs/>
          <w:sz w:val="18"/>
          <w:szCs w:val="18"/>
          <w:rtl/>
        </w:rPr>
        <w:t>به</w:t>
      </w:r>
      <w:proofErr w:type="spellEnd"/>
      <w:r w:rsidRPr="002D3119">
        <w:rPr>
          <w:b/>
          <w:bCs/>
          <w:sz w:val="18"/>
          <w:szCs w:val="18"/>
          <w:rtl/>
        </w:rPr>
        <w:t xml:space="preserve"> أبو علي </w:t>
      </w:r>
      <w:proofErr w:type="spellStart"/>
      <w:r w:rsidRPr="002D3119">
        <w:rPr>
          <w:b/>
          <w:bCs/>
          <w:sz w:val="18"/>
          <w:szCs w:val="18"/>
          <w:rtl/>
        </w:rPr>
        <w:t>الشلوبين</w:t>
      </w:r>
      <w:proofErr w:type="spellEnd"/>
      <w:r w:rsidRPr="002D3119">
        <w:rPr>
          <w:b/>
          <w:bCs/>
          <w:sz w:val="18"/>
          <w:szCs w:val="18"/>
          <w:rtl/>
        </w:rPr>
        <w:t xml:space="preserve"> على رد قول مَن قال: إن الواو والألف والياء في الأسماء الستة علامات إعراب؛ لأن قوله يؤدي إلى عدم النظير، وأوضح: بأنا إذا قلنا بذلك في: فوك وذو مال، كان كل واحد منهما اسمًا معربًا على حرف واحد، وهذا لا نظير له في الأسماء المبنية إلا في الضمائر المتصلة بما قبلها، فما ظنك </w:t>
      </w:r>
      <w:proofErr w:type="spellStart"/>
      <w:r w:rsidRPr="002D3119">
        <w:rPr>
          <w:b/>
          <w:bCs/>
          <w:sz w:val="18"/>
          <w:szCs w:val="18"/>
          <w:rtl/>
        </w:rPr>
        <w:t>به</w:t>
      </w:r>
      <w:proofErr w:type="spellEnd"/>
      <w:r w:rsidRPr="002D3119">
        <w:rPr>
          <w:b/>
          <w:bCs/>
          <w:sz w:val="18"/>
          <w:szCs w:val="18"/>
          <w:rtl/>
        </w:rPr>
        <w:t xml:space="preserve"> في الأسماء المعربة؟.</w:t>
      </w:r>
    </w:p>
    <w:p w:rsidR="00853F39" w:rsidRPr="002D3119" w:rsidRDefault="00853F39" w:rsidP="002D3119">
      <w:pPr>
        <w:pStyle w:val="a3"/>
        <w:bidi/>
        <w:spacing w:before="0" w:beforeAutospacing="0" w:after="120" w:afterAutospacing="0"/>
        <w:jc w:val="lowKashida"/>
        <w:rPr>
          <w:b/>
          <w:bCs/>
          <w:sz w:val="18"/>
          <w:szCs w:val="18"/>
        </w:rPr>
      </w:pPr>
      <w:r w:rsidRPr="002D3119">
        <w:rPr>
          <w:b/>
          <w:bCs/>
          <w:color w:val="000080"/>
          <w:sz w:val="18"/>
          <w:szCs w:val="18"/>
          <w:rtl/>
        </w:rPr>
        <w:t>سابعًا:</w:t>
      </w:r>
      <w:r w:rsidRPr="002D3119">
        <w:rPr>
          <w:b/>
          <w:bCs/>
          <w:sz w:val="18"/>
          <w:szCs w:val="18"/>
          <w:rtl/>
        </w:rPr>
        <w:t xml:space="preserve"> ما احتج </w:t>
      </w:r>
      <w:proofErr w:type="spellStart"/>
      <w:r w:rsidRPr="002D3119">
        <w:rPr>
          <w:b/>
          <w:bCs/>
          <w:sz w:val="18"/>
          <w:szCs w:val="18"/>
          <w:rtl/>
        </w:rPr>
        <w:t>به</w:t>
      </w:r>
      <w:proofErr w:type="spellEnd"/>
      <w:r w:rsidRPr="002D3119">
        <w:rPr>
          <w:b/>
          <w:bCs/>
          <w:sz w:val="18"/>
          <w:szCs w:val="18"/>
          <w:rtl/>
        </w:rPr>
        <w:t xml:space="preserve"> ابن مالك على رد مذهب الزجاج </w:t>
      </w:r>
      <w:proofErr w:type="spellStart"/>
      <w:r w:rsidRPr="002D3119">
        <w:rPr>
          <w:b/>
          <w:bCs/>
          <w:sz w:val="18"/>
          <w:szCs w:val="18"/>
          <w:rtl/>
        </w:rPr>
        <w:t>والسيرافي</w:t>
      </w:r>
      <w:proofErr w:type="spellEnd"/>
      <w:r w:rsidRPr="002D3119">
        <w:rPr>
          <w:b/>
          <w:bCs/>
          <w:sz w:val="18"/>
          <w:szCs w:val="18"/>
          <w:rtl/>
        </w:rPr>
        <w:t xml:space="preserve"> في فتحة: لا رجلَ، وشبهه، فقد ذهب الزجاج </w:t>
      </w:r>
      <w:proofErr w:type="spellStart"/>
      <w:r w:rsidRPr="002D3119">
        <w:rPr>
          <w:b/>
          <w:bCs/>
          <w:sz w:val="18"/>
          <w:szCs w:val="18"/>
          <w:rtl/>
        </w:rPr>
        <w:t>والسيرافي</w:t>
      </w:r>
      <w:proofErr w:type="spellEnd"/>
      <w:r w:rsidRPr="002D3119">
        <w:rPr>
          <w:b/>
          <w:bCs/>
          <w:sz w:val="18"/>
          <w:szCs w:val="18"/>
          <w:rtl/>
        </w:rPr>
        <w:t xml:space="preserve"> إلى أن هذه الفتحة فتحة إعراب، وأن التنوين حذف منها تخفيفًا، ولشبهه بالمركب، ورده ابن مالك: بأنه يستلزم مخالفة النظائر؛ لأن الاستقراء قد أطلعنا على أن حذف التنوين من الأسماء المتمكنة لا يكون إلا لمنع صرف، أو للإضافة، أو لدخول الألف واللام، أو لكونه في عَلَم موصوف بابن مضاف إلى علم، أو لملاقاة ساكن، أو لوقف، أو لبناء، واسم لا النافية للجنس ليس واحدًا من الأنواع الستة الأولى، فتعين أن يكون من النوع السابع، وهو البناء.</w:t>
      </w:r>
    </w:p>
    <w:p w:rsidR="00853F39" w:rsidRPr="002D3119" w:rsidRDefault="00853F39" w:rsidP="002D3119">
      <w:pPr>
        <w:pStyle w:val="a3"/>
        <w:bidi/>
        <w:spacing w:before="0" w:beforeAutospacing="0" w:after="120" w:afterAutospacing="0"/>
        <w:jc w:val="lowKashida"/>
        <w:rPr>
          <w:b/>
          <w:bCs/>
          <w:sz w:val="18"/>
          <w:szCs w:val="18"/>
        </w:rPr>
      </w:pPr>
      <w:r w:rsidRPr="002D3119">
        <w:rPr>
          <w:b/>
          <w:bCs/>
          <w:color w:val="000080"/>
          <w:sz w:val="18"/>
          <w:szCs w:val="18"/>
          <w:rtl/>
        </w:rPr>
        <w:t>ثامنًا:</w:t>
      </w:r>
      <w:r w:rsidRPr="002D3119">
        <w:rPr>
          <w:b/>
          <w:bCs/>
          <w:sz w:val="18"/>
          <w:szCs w:val="18"/>
          <w:rtl/>
        </w:rPr>
        <w:t xml:space="preserve"> ما احتج </w:t>
      </w:r>
      <w:proofErr w:type="spellStart"/>
      <w:r w:rsidRPr="002D3119">
        <w:rPr>
          <w:b/>
          <w:bCs/>
          <w:sz w:val="18"/>
          <w:szCs w:val="18"/>
          <w:rtl/>
        </w:rPr>
        <w:t>به</w:t>
      </w:r>
      <w:proofErr w:type="spellEnd"/>
      <w:r w:rsidRPr="002D3119">
        <w:rPr>
          <w:b/>
          <w:bCs/>
          <w:sz w:val="18"/>
          <w:szCs w:val="18"/>
          <w:rtl/>
        </w:rPr>
        <w:t xml:space="preserve"> أبو حيان على رد مذهب الفراء في باب التنازع القائل: "إذا </w:t>
      </w:r>
      <w:proofErr w:type="spellStart"/>
      <w:r w:rsidRPr="002D3119">
        <w:rPr>
          <w:b/>
          <w:bCs/>
          <w:sz w:val="18"/>
          <w:szCs w:val="18"/>
          <w:rtl/>
        </w:rPr>
        <w:t>استوى</w:t>
      </w:r>
      <w:proofErr w:type="spellEnd"/>
      <w:r w:rsidRPr="002D3119">
        <w:rPr>
          <w:b/>
          <w:bCs/>
          <w:sz w:val="18"/>
          <w:szCs w:val="18"/>
          <w:rtl/>
        </w:rPr>
        <w:t xml:space="preserve"> العاملان في طلب المرفوع فالعمل لهما"، وذلك نحو: قام وقعد زيد، ويحسن ويسيء ابناك، فهو يرى: أن العاملين في الجملتين السابقتين ونحوهما كالعامل الواحد؛ لأن </w:t>
      </w:r>
      <w:proofErr w:type="spellStart"/>
      <w:r w:rsidRPr="002D3119">
        <w:rPr>
          <w:b/>
          <w:bCs/>
          <w:sz w:val="18"/>
          <w:szCs w:val="18"/>
          <w:rtl/>
        </w:rPr>
        <w:t>مطلوبهما</w:t>
      </w:r>
      <w:proofErr w:type="spellEnd"/>
      <w:r w:rsidRPr="002D3119">
        <w:rPr>
          <w:b/>
          <w:bCs/>
          <w:sz w:val="18"/>
          <w:szCs w:val="18"/>
          <w:rtl/>
        </w:rPr>
        <w:t xml:space="preserve"> واحد، فرَد ذلك أبو حيان: بأنه يؤدي إلى عدم النظير، إذ لا يجتمع عاملان على معمول واحد إلا في التقدير، نحو: ليس زيد بجبان، يعني: لا يجوز أن يجتمع عاملان على معمول واحد في اللفظ وإن توجها إليه في المعنى؛ لأن العوامل كالمؤثرات، ولا يجوز اجتماع مؤثرين في محل واحد.</w:t>
      </w:r>
    </w:p>
    <w:p w:rsidR="00853F39" w:rsidRPr="002D3119" w:rsidRDefault="00853F39" w:rsidP="002D3119">
      <w:pPr>
        <w:pStyle w:val="a3"/>
        <w:bidi/>
        <w:spacing w:before="0" w:beforeAutospacing="0" w:after="120" w:afterAutospacing="0"/>
        <w:jc w:val="lowKashida"/>
        <w:rPr>
          <w:b/>
          <w:bCs/>
          <w:sz w:val="18"/>
          <w:szCs w:val="18"/>
          <w:rtl/>
        </w:rPr>
      </w:pPr>
      <w:r w:rsidRPr="002D3119">
        <w:rPr>
          <w:b/>
          <w:bCs/>
          <w:sz w:val="18"/>
          <w:szCs w:val="18"/>
          <w:rtl/>
        </w:rPr>
        <w:t xml:space="preserve">ونختم هذا العنصر مكتفين بما أوردناه من أمثلة تدل على مدى اهتمام العلماء بالاستدلال بعدم النظير، ومنبهين على أن السيوطي إن كان قد أوجز القول في عدم النظير في (الاقتراح) فقد أورد مبحثًا مطولًا في كتابه الموسوم </w:t>
      </w:r>
      <w:proofErr w:type="spellStart"/>
      <w:r w:rsidRPr="002D3119">
        <w:rPr>
          <w:b/>
          <w:bCs/>
          <w:sz w:val="18"/>
          <w:szCs w:val="18"/>
          <w:rtl/>
        </w:rPr>
        <w:t>بـ</w:t>
      </w:r>
      <w:proofErr w:type="spellEnd"/>
      <w:r w:rsidRPr="002D3119">
        <w:rPr>
          <w:b/>
          <w:bCs/>
          <w:sz w:val="18"/>
          <w:szCs w:val="18"/>
          <w:rtl/>
        </w:rPr>
        <w:t>(الأشباه والنظائر) عنوانه: الحمل على ما له نظير أولى من الحمل على ما ليس له نظير، تضمن عددًا من الأمثلة على عدم النظير.</w:t>
      </w:r>
    </w:p>
    <w:p w:rsidR="00853F39" w:rsidRPr="00D20229" w:rsidRDefault="00853F39" w:rsidP="00071077">
      <w:pPr>
        <w:spacing w:line="240" w:lineRule="auto"/>
        <w:jc w:val="center"/>
        <w:rPr>
          <w:rFonts w:ascii="Times New Roman" w:hAnsi="Times New Roman" w:cs="Times New Roman"/>
          <w:b/>
          <w:bCs/>
          <w:sz w:val="18"/>
          <w:szCs w:val="18"/>
          <w:rtl/>
        </w:rPr>
      </w:pPr>
      <w:r>
        <w:br w:type="column"/>
      </w:r>
      <w:r w:rsidRPr="00D20229">
        <w:rPr>
          <w:rFonts w:ascii="Times New Roman" w:hAnsi="Times New Roman" w:cs="Times New Roman"/>
          <w:b/>
          <w:bCs/>
          <w:sz w:val="18"/>
          <w:szCs w:val="18"/>
          <w:rtl/>
        </w:rPr>
        <w:lastRenderedPageBreak/>
        <w:t>المراجع والمصادر</w:t>
      </w:r>
    </w:p>
    <w:p w:rsidR="00853F39" w:rsidRPr="00D20229" w:rsidRDefault="00853F39" w:rsidP="00071077">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853F39" w:rsidRPr="00D20229" w:rsidRDefault="00853F39" w:rsidP="00071077">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853F39" w:rsidRPr="00D20229" w:rsidRDefault="00853F39" w:rsidP="00071077">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853F39" w:rsidRPr="00D20229" w:rsidRDefault="00853F39" w:rsidP="00071077">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853F39" w:rsidRPr="00D20229" w:rsidRDefault="00853F39" w:rsidP="00071077">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853F39" w:rsidRPr="00D20229" w:rsidRDefault="00853F39" w:rsidP="00071077">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853F39" w:rsidRPr="00D20229" w:rsidRDefault="00853F39" w:rsidP="00071077">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853F39" w:rsidRPr="00D20229" w:rsidRDefault="00853F39" w:rsidP="00071077">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853F39" w:rsidRDefault="00853F39" w:rsidP="00071077">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853F39" w:rsidRDefault="00853F39" w:rsidP="00071077">
      <w:pPr>
        <w:numPr>
          <w:ilvl w:val="0"/>
          <w:numId w:val="1"/>
        </w:numPr>
        <w:spacing w:after="0" w:line="240" w:lineRule="auto"/>
        <w:jc w:val="lowKashida"/>
      </w:pPr>
      <w:r>
        <w:rPr>
          <w:rFonts w:hint="cs"/>
          <w:b/>
          <w:bCs/>
          <w:sz w:val="18"/>
          <w:szCs w:val="18"/>
          <w:rtl/>
        </w:rPr>
        <w:t>الطنطاوي،</w:t>
      </w:r>
      <w:r>
        <w:rPr>
          <w:b/>
          <w:bCs/>
          <w:sz w:val="18"/>
          <w:szCs w:val="18"/>
          <w:rtl/>
        </w:rPr>
        <w:t xml:space="preserve"> </w:t>
      </w:r>
      <w:r w:rsidRPr="00D20229">
        <w:rPr>
          <w:rFonts w:hint="cs"/>
          <w:b/>
          <w:bCs/>
          <w:sz w:val="18"/>
          <w:szCs w:val="18"/>
          <w:rtl/>
        </w:rPr>
        <w:t>محمد</w:t>
      </w:r>
      <w:r w:rsidRPr="00D20229">
        <w:rPr>
          <w:b/>
          <w:bCs/>
          <w:sz w:val="18"/>
          <w:szCs w:val="18"/>
          <w:rtl/>
        </w:rPr>
        <w:t xml:space="preserve"> </w:t>
      </w:r>
      <w:r w:rsidRPr="00D20229">
        <w:rPr>
          <w:rFonts w:hint="cs"/>
          <w:b/>
          <w:bCs/>
          <w:sz w:val="18"/>
          <w:szCs w:val="18"/>
          <w:rtl/>
        </w:rPr>
        <w:t>الطنطاوي،</w:t>
      </w:r>
      <w:r w:rsidRPr="00D20229">
        <w:rPr>
          <w:b/>
          <w:bCs/>
          <w:sz w:val="18"/>
          <w:szCs w:val="18"/>
          <w:rtl/>
        </w:rPr>
        <w:t xml:space="preserve"> (</w:t>
      </w:r>
      <w:r w:rsidRPr="00D20229">
        <w:rPr>
          <w:rFonts w:hint="cs"/>
          <w:b/>
          <w:bCs/>
          <w:sz w:val="18"/>
          <w:szCs w:val="18"/>
          <w:rtl/>
        </w:rPr>
        <w:t>نشأة</w:t>
      </w:r>
      <w:r w:rsidRPr="00D20229">
        <w:rPr>
          <w:b/>
          <w:bCs/>
          <w:sz w:val="18"/>
          <w:szCs w:val="18"/>
          <w:rtl/>
        </w:rPr>
        <w:t xml:space="preserve"> </w:t>
      </w:r>
      <w:r w:rsidRPr="00D20229">
        <w:rPr>
          <w:rFonts w:hint="cs"/>
          <w:b/>
          <w:bCs/>
          <w:sz w:val="18"/>
          <w:szCs w:val="18"/>
          <w:rtl/>
        </w:rPr>
        <w:t>النحو</w:t>
      </w:r>
      <w:r w:rsidRPr="00D20229">
        <w:rPr>
          <w:b/>
          <w:bCs/>
          <w:sz w:val="18"/>
          <w:szCs w:val="18"/>
          <w:rtl/>
        </w:rPr>
        <w:t xml:space="preserve"> </w:t>
      </w:r>
      <w:r w:rsidRPr="00D20229">
        <w:rPr>
          <w:rFonts w:hint="cs"/>
          <w:b/>
          <w:bCs/>
          <w:sz w:val="18"/>
          <w:szCs w:val="18"/>
          <w:rtl/>
        </w:rPr>
        <w:t>وتاريخ</w:t>
      </w:r>
      <w:r w:rsidRPr="00D20229">
        <w:rPr>
          <w:b/>
          <w:bCs/>
          <w:sz w:val="18"/>
          <w:szCs w:val="18"/>
          <w:rtl/>
        </w:rPr>
        <w:t xml:space="preserve"> </w:t>
      </w:r>
      <w:r w:rsidRPr="00D20229">
        <w:rPr>
          <w:rFonts w:hint="cs"/>
          <w:b/>
          <w:bCs/>
          <w:sz w:val="18"/>
          <w:szCs w:val="18"/>
          <w:rtl/>
        </w:rPr>
        <w:t>أشهر</w:t>
      </w:r>
      <w:r w:rsidRPr="00D20229">
        <w:rPr>
          <w:b/>
          <w:bCs/>
          <w:sz w:val="18"/>
          <w:szCs w:val="18"/>
          <w:rtl/>
        </w:rPr>
        <w:t xml:space="preserve"> </w:t>
      </w:r>
      <w:r w:rsidRPr="00D20229">
        <w:rPr>
          <w:rFonts w:hint="cs"/>
          <w:b/>
          <w:bCs/>
          <w:sz w:val="18"/>
          <w:szCs w:val="18"/>
          <w:rtl/>
        </w:rPr>
        <w:t>النحاة</w:t>
      </w:r>
      <w:r w:rsidRPr="00D20229">
        <w:rPr>
          <w:b/>
          <w:bCs/>
          <w:sz w:val="18"/>
          <w:szCs w:val="18"/>
          <w:rtl/>
        </w:rPr>
        <w:t>) ,</w:t>
      </w:r>
      <w:r w:rsidRPr="00D20229">
        <w:rPr>
          <w:rFonts w:hint="cs"/>
          <w:b/>
          <w:bCs/>
          <w:sz w:val="18"/>
          <w:szCs w:val="18"/>
          <w:rtl/>
        </w:rPr>
        <w:t>القاهرة،</w:t>
      </w:r>
      <w:r w:rsidRPr="00D20229">
        <w:rPr>
          <w:b/>
          <w:bCs/>
          <w:sz w:val="18"/>
          <w:szCs w:val="18"/>
          <w:rtl/>
        </w:rPr>
        <w:t xml:space="preserve"> </w:t>
      </w:r>
      <w:r w:rsidRPr="00D20229">
        <w:rPr>
          <w:rFonts w:hint="cs"/>
          <w:b/>
          <w:bCs/>
          <w:sz w:val="18"/>
          <w:szCs w:val="18"/>
          <w:rtl/>
        </w:rPr>
        <w:t>مطبعة</w:t>
      </w:r>
      <w:r w:rsidRPr="00D20229">
        <w:rPr>
          <w:b/>
          <w:bCs/>
          <w:sz w:val="18"/>
          <w:szCs w:val="18"/>
          <w:rtl/>
        </w:rPr>
        <w:t xml:space="preserve"> </w:t>
      </w:r>
      <w:r w:rsidRPr="00D20229">
        <w:rPr>
          <w:rFonts w:hint="cs"/>
          <w:b/>
          <w:bCs/>
          <w:sz w:val="18"/>
          <w:szCs w:val="18"/>
          <w:rtl/>
        </w:rPr>
        <w:t>وادي</w:t>
      </w:r>
      <w:r w:rsidRPr="00D20229">
        <w:rPr>
          <w:b/>
          <w:bCs/>
          <w:sz w:val="18"/>
          <w:szCs w:val="18"/>
          <w:rtl/>
        </w:rPr>
        <w:t xml:space="preserve"> </w:t>
      </w:r>
      <w:r w:rsidRPr="00D20229">
        <w:rPr>
          <w:rFonts w:hint="cs"/>
          <w:b/>
          <w:bCs/>
          <w:sz w:val="18"/>
          <w:szCs w:val="18"/>
          <w:rtl/>
        </w:rPr>
        <w:t>الملوك،</w:t>
      </w:r>
      <w:r w:rsidRPr="00D20229">
        <w:rPr>
          <w:b/>
          <w:bCs/>
          <w:sz w:val="18"/>
          <w:szCs w:val="18"/>
          <w:rtl/>
        </w:rPr>
        <w:t xml:space="preserve"> 1954</w:t>
      </w:r>
      <w:r w:rsidRPr="00D20229">
        <w:rPr>
          <w:rFonts w:hint="cs"/>
          <w:b/>
          <w:bCs/>
          <w:sz w:val="18"/>
          <w:szCs w:val="18"/>
          <w:rtl/>
        </w:rPr>
        <w:t>م</w:t>
      </w:r>
      <w:r>
        <w:rPr>
          <w:b/>
          <w:bCs/>
          <w:sz w:val="18"/>
          <w:szCs w:val="18"/>
          <w:rtl/>
        </w:rPr>
        <w:t>.</w:t>
      </w:r>
    </w:p>
    <w:sectPr w:rsidR="00853F39" w:rsidSect="00071077">
      <w:type w:val="continuous"/>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596">
    <w:panose1 w:val="02000400000000000000"/>
    <w:charset w:val="00"/>
    <w:family w:val="auto"/>
    <w:pitch w:val="variable"/>
    <w:sig w:usb0="80002003" w:usb1="90000000" w:usb2="00000008" w:usb3="00000000" w:csb0="80000041" w:csb1="00000000"/>
  </w:font>
  <w:font w:name="QCF_P36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F57B5"/>
    <w:multiLevelType w:val="hybridMultilevel"/>
    <w:tmpl w:val="1C4C0796"/>
    <w:lvl w:ilvl="0" w:tplc="2BEA3038">
      <w:start w:val="1"/>
      <w:numFmt w:val="upperRoman"/>
      <w:lvlText w:val="%1."/>
      <w:lvlJc w:val="left"/>
      <w:pPr>
        <w:ind w:left="1490" w:hanging="360"/>
      </w:pPr>
      <w:rPr>
        <w:rFonts w:cs="Times New Roman" w:hint="default"/>
      </w:rPr>
    </w:lvl>
    <w:lvl w:ilvl="1" w:tplc="04090019">
      <w:start w:val="1"/>
      <w:numFmt w:val="lowerLetter"/>
      <w:lvlText w:val="%2."/>
      <w:lvlJc w:val="left"/>
      <w:pPr>
        <w:ind w:left="2210" w:hanging="360"/>
      </w:pPr>
      <w:rPr>
        <w:rFonts w:cs="Times New Roman"/>
      </w:rPr>
    </w:lvl>
    <w:lvl w:ilvl="2" w:tplc="0409001B">
      <w:start w:val="1"/>
      <w:numFmt w:val="lowerRoman"/>
      <w:lvlText w:val="%3."/>
      <w:lvlJc w:val="right"/>
      <w:pPr>
        <w:ind w:left="2930" w:hanging="180"/>
      </w:pPr>
      <w:rPr>
        <w:rFonts w:cs="Times New Roman"/>
      </w:rPr>
    </w:lvl>
    <w:lvl w:ilvl="3" w:tplc="0409000F">
      <w:start w:val="1"/>
      <w:numFmt w:val="decimal"/>
      <w:lvlText w:val="%4."/>
      <w:lvlJc w:val="left"/>
      <w:pPr>
        <w:ind w:left="3650" w:hanging="360"/>
      </w:pPr>
      <w:rPr>
        <w:rFonts w:cs="Times New Roman"/>
      </w:rPr>
    </w:lvl>
    <w:lvl w:ilvl="4" w:tplc="04090019">
      <w:start w:val="1"/>
      <w:numFmt w:val="lowerLetter"/>
      <w:lvlText w:val="%5."/>
      <w:lvlJc w:val="left"/>
      <w:pPr>
        <w:ind w:left="4370" w:hanging="360"/>
      </w:pPr>
      <w:rPr>
        <w:rFonts w:cs="Times New Roman"/>
      </w:rPr>
    </w:lvl>
    <w:lvl w:ilvl="5" w:tplc="0409001B">
      <w:start w:val="1"/>
      <w:numFmt w:val="lowerRoman"/>
      <w:lvlText w:val="%6."/>
      <w:lvlJc w:val="right"/>
      <w:pPr>
        <w:ind w:left="5090" w:hanging="180"/>
      </w:pPr>
      <w:rPr>
        <w:rFonts w:cs="Times New Roman"/>
      </w:rPr>
    </w:lvl>
    <w:lvl w:ilvl="6" w:tplc="0409000F">
      <w:start w:val="1"/>
      <w:numFmt w:val="decimal"/>
      <w:lvlText w:val="%7."/>
      <w:lvlJc w:val="left"/>
      <w:pPr>
        <w:ind w:left="5810" w:hanging="360"/>
      </w:pPr>
      <w:rPr>
        <w:rFonts w:cs="Times New Roman"/>
      </w:rPr>
    </w:lvl>
    <w:lvl w:ilvl="7" w:tplc="04090019">
      <w:start w:val="1"/>
      <w:numFmt w:val="lowerLetter"/>
      <w:lvlText w:val="%8."/>
      <w:lvlJc w:val="left"/>
      <w:pPr>
        <w:ind w:left="6530" w:hanging="360"/>
      </w:pPr>
      <w:rPr>
        <w:rFonts w:cs="Times New Roman"/>
      </w:rPr>
    </w:lvl>
    <w:lvl w:ilvl="8" w:tplc="0409001B">
      <w:start w:val="1"/>
      <w:numFmt w:val="lowerRoman"/>
      <w:lvlText w:val="%9."/>
      <w:lvlJc w:val="right"/>
      <w:pPr>
        <w:ind w:left="725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67267787"/>
    <w:multiLevelType w:val="hybridMultilevel"/>
    <w:tmpl w:val="7CFAE6B4"/>
    <w:lvl w:ilvl="0" w:tplc="0409000F">
      <w:start w:val="1"/>
      <w:numFmt w:val="decimal"/>
      <w:lvlText w:val="%1."/>
      <w:lvlJc w:val="left"/>
      <w:pPr>
        <w:ind w:left="770" w:hanging="360"/>
      </w:pPr>
      <w:rPr>
        <w:rFonts w:cs="Times New Roman"/>
      </w:rPr>
    </w:lvl>
    <w:lvl w:ilvl="1" w:tplc="04090019">
      <w:start w:val="1"/>
      <w:numFmt w:val="lowerLetter"/>
      <w:lvlText w:val="%2."/>
      <w:lvlJc w:val="left"/>
      <w:pPr>
        <w:ind w:left="1490" w:hanging="360"/>
      </w:pPr>
      <w:rPr>
        <w:rFonts w:cs="Times New Roman"/>
      </w:rPr>
    </w:lvl>
    <w:lvl w:ilvl="2" w:tplc="0409001B">
      <w:start w:val="1"/>
      <w:numFmt w:val="lowerRoman"/>
      <w:lvlText w:val="%3."/>
      <w:lvlJc w:val="right"/>
      <w:pPr>
        <w:ind w:left="2210" w:hanging="180"/>
      </w:pPr>
      <w:rPr>
        <w:rFonts w:cs="Times New Roman"/>
      </w:rPr>
    </w:lvl>
    <w:lvl w:ilvl="3" w:tplc="0409000F">
      <w:start w:val="1"/>
      <w:numFmt w:val="decimal"/>
      <w:lvlText w:val="%4."/>
      <w:lvlJc w:val="left"/>
      <w:pPr>
        <w:ind w:left="2930" w:hanging="360"/>
      </w:pPr>
      <w:rPr>
        <w:rFonts w:cs="Times New Roman"/>
      </w:rPr>
    </w:lvl>
    <w:lvl w:ilvl="4" w:tplc="04090019">
      <w:start w:val="1"/>
      <w:numFmt w:val="lowerLetter"/>
      <w:lvlText w:val="%5."/>
      <w:lvlJc w:val="left"/>
      <w:pPr>
        <w:ind w:left="3650" w:hanging="360"/>
      </w:pPr>
      <w:rPr>
        <w:rFonts w:cs="Times New Roman"/>
      </w:rPr>
    </w:lvl>
    <w:lvl w:ilvl="5" w:tplc="0409001B">
      <w:start w:val="1"/>
      <w:numFmt w:val="lowerRoman"/>
      <w:lvlText w:val="%6."/>
      <w:lvlJc w:val="right"/>
      <w:pPr>
        <w:ind w:left="4370" w:hanging="180"/>
      </w:pPr>
      <w:rPr>
        <w:rFonts w:cs="Times New Roman"/>
      </w:rPr>
    </w:lvl>
    <w:lvl w:ilvl="6" w:tplc="0409000F">
      <w:start w:val="1"/>
      <w:numFmt w:val="decimal"/>
      <w:lvlText w:val="%7."/>
      <w:lvlJc w:val="left"/>
      <w:pPr>
        <w:ind w:left="5090" w:hanging="360"/>
      </w:pPr>
      <w:rPr>
        <w:rFonts w:cs="Times New Roman"/>
      </w:rPr>
    </w:lvl>
    <w:lvl w:ilvl="7" w:tplc="04090019">
      <w:start w:val="1"/>
      <w:numFmt w:val="lowerLetter"/>
      <w:lvlText w:val="%8."/>
      <w:lvlJc w:val="left"/>
      <w:pPr>
        <w:ind w:left="5810" w:hanging="360"/>
      </w:pPr>
      <w:rPr>
        <w:rFonts w:cs="Times New Roman"/>
      </w:rPr>
    </w:lvl>
    <w:lvl w:ilvl="8" w:tplc="0409001B">
      <w:start w:val="1"/>
      <w:numFmt w:val="lowerRoman"/>
      <w:lvlText w:val="%9."/>
      <w:lvlJc w:val="right"/>
      <w:pPr>
        <w:ind w:left="653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3119"/>
    <w:rsid w:val="00071077"/>
    <w:rsid w:val="001524F0"/>
    <w:rsid w:val="001D6929"/>
    <w:rsid w:val="00294A2D"/>
    <w:rsid w:val="002D3119"/>
    <w:rsid w:val="00514443"/>
    <w:rsid w:val="005D36C5"/>
    <w:rsid w:val="007E277A"/>
    <w:rsid w:val="00853F39"/>
    <w:rsid w:val="0089766D"/>
    <w:rsid w:val="008C7CE0"/>
    <w:rsid w:val="009556CB"/>
    <w:rsid w:val="009C2A2D"/>
    <w:rsid w:val="00A60F02"/>
    <w:rsid w:val="00A96C38"/>
    <w:rsid w:val="00BC5C5D"/>
    <w:rsid w:val="00BD10B5"/>
    <w:rsid w:val="00BE592C"/>
    <w:rsid w:val="00BF7572"/>
    <w:rsid w:val="00D20229"/>
    <w:rsid w:val="00E23088"/>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D311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2D3119"/>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1118</Words>
  <Characters>6379</Characters>
  <Application>Microsoft Office Word</Application>
  <DocSecurity>0</DocSecurity>
  <Lines>53</Lines>
  <Paragraphs>14</Paragraphs>
  <ScaleCrop>false</ScaleCrop>
  <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2013-06-11T12:51:00Z</dcterms:created>
  <dcterms:modified xsi:type="dcterms:W3CDTF">2013-06-19T13:04:00Z</dcterms:modified>
</cp:coreProperties>
</file>