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C3" w:rsidRDefault="00AB3272" w:rsidP="00AB3272">
      <w:pPr>
        <w:jc w:val="center"/>
        <w:rPr>
          <w:rFonts w:asciiTheme="majorBidi" w:hAnsiTheme="majorBidi" w:cstheme="majorBidi" w:hint="cs"/>
          <w:b/>
          <w:bCs/>
          <w:sz w:val="48"/>
          <w:szCs w:val="48"/>
          <w:rtl/>
        </w:rPr>
      </w:pPr>
      <w:r w:rsidRPr="00AB3272">
        <w:rPr>
          <w:rFonts w:asciiTheme="majorBidi" w:eastAsia="Calibri" w:hAnsiTheme="majorBidi" w:cstheme="majorBidi"/>
          <w:b/>
          <w:bCs/>
          <w:sz w:val="48"/>
          <w:szCs w:val="48"/>
          <w:rtl/>
        </w:rPr>
        <w:t>القراءات الشاذة وعلاقتها بالفقه الإسلامي</w:t>
      </w:r>
    </w:p>
    <w:p w:rsidR="00AB3272" w:rsidRPr="00F7753E" w:rsidRDefault="00AB3272" w:rsidP="00AB3272">
      <w:pPr>
        <w:spacing w:after="0" w:line="240" w:lineRule="auto"/>
        <w:jc w:val="center"/>
        <w:rPr>
          <w:rFonts w:asciiTheme="majorBidi" w:eastAsia="Calibri" w:hAnsiTheme="majorBidi" w:cstheme="majorBidi"/>
          <w:sz w:val="18"/>
          <w:szCs w:val="18"/>
          <w:rtl/>
          <w:lang w:bidi="ar-EG"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  <w:lang w:bidi="ar-EG"/>
        </w:rPr>
        <w:t>القراءات الشاذه</w:t>
      </w:r>
    </w:p>
    <w:p w:rsidR="00AB3272" w:rsidRPr="00426F7E" w:rsidRDefault="00AB3272" w:rsidP="00AB3272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AB3272" w:rsidRPr="00426F7E" w:rsidRDefault="00AB3272" w:rsidP="00AB3272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AB3272" w:rsidRPr="00426F7E" w:rsidRDefault="00AB3272" w:rsidP="00AB3272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AB3272" w:rsidRPr="00426F7E" w:rsidRDefault="00AB3272" w:rsidP="00AB3272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AB3272" w:rsidRDefault="00AB3272" w:rsidP="00AB3272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ar-EG"/>
          </w:rPr>
          <w:t>Ahmedmsamir54@gmail.com</w:t>
        </w:r>
      </w:hyperlink>
    </w:p>
    <w:p w:rsidR="00AB3272" w:rsidRPr="00426F7E" w:rsidRDefault="00AB3272" w:rsidP="00AB3272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p w:rsidR="00AB3272" w:rsidRDefault="00AB3272" w:rsidP="00AB327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AB3272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AB3272" w:rsidRPr="00AB3272" w:rsidRDefault="00AB3272" w:rsidP="00AB327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AB3272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القراءات الشاذة وعلاقتها بالفقه الإسلامي</w:t>
      </w:r>
    </w:p>
    <w:p w:rsidR="00AB3272" w:rsidRPr="00AB3272" w:rsidRDefault="00AB3272" w:rsidP="00AB3272">
      <w:pPr>
        <w:spacing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AB3272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AB3272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الشاذه، علاقتها، الفقه</w:t>
      </w:r>
    </w:p>
    <w:p w:rsidR="00AB3272" w:rsidRPr="00AB3272" w:rsidRDefault="00AB3272" w:rsidP="00AB3272">
      <w:pPr>
        <w:numPr>
          <w:ilvl w:val="0"/>
          <w:numId w:val="2"/>
        </w:numPr>
        <w:spacing w:after="0" w:line="240" w:lineRule="auto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AB3272" w:rsidRPr="00AB3272" w:rsidRDefault="00AB3272" w:rsidP="00AB3272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AB3272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القراءات الشاذة وعلاقتها بالفقه الإسلامي</w:t>
      </w:r>
    </w:p>
    <w:p w:rsidR="00AB3272" w:rsidRPr="00AB3272" w:rsidRDefault="00AB3272" w:rsidP="00AB3272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AB3272" w:rsidRPr="00AB3272" w:rsidRDefault="00AB3272" w:rsidP="00AB3272">
      <w:pPr>
        <w:numPr>
          <w:ilvl w:val="0"/>
          <w:numId w:val="3"/>
        </w:numPr>
        <w:spacing w:after="0" w:line="240" w:lineRule="auto"/>
        <w:ind w:left="733" w:hanging="90"/>
        <w:jc w:val="center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نبين القراءات الشاذة وعلاقتها بالفقه الإسلامي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ونبدأ بالقراءات الشاذة وموقف الفقهاء من الاحتجاج بها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فنقول: لا شك أن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الشاذة لها أثر عظيم في الفقه الإسلامي؛ إذ بها قد تضح المسائل والقضايا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الفقهية، ولكن قبل بيان الأثر تجدر الإشارة إلى بيان موقف الفقهاء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رحمهم الله تعالى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  <w:lang w:bidi="ar-EG"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من الاحتجاج بالقراءات الشاذة، والاستدلال على بعض الأحكام، وفيما يلي بيان موقف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السادة الفقهاء من القراءات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 w:hint="cs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أولًا: موقف الأحناف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يرى الأحناف أن القراءات الشاذة إذا صح سندها كانت حجة، يجب العمل بها،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وبناء عليه فهم يوجبون التتابع في صوم كفارة اليمين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>؛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مستدلين على ذلك بحرف عبد الله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بن مسعود </w:t>
      </w:r>
      <w:r w:rsidRPr="00AB3272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: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فصيام ثلاثة أيام متتابعات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والضابط عندهم في تأييد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حجيتها أنها؛ إما قرآن نسخ تلاوة، وإما خبر وقع على سبيل التفسير، وكل من القرآن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والخبر يجب العمل به، وأيضًا لا تحتمل أن تكون القراءات الشاذة وصفت بالقرآنية 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راويها باجتهاد منه أو أنها رأي ومذهب للصحابي أو الراوي؛ لأن القرآن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لا يهتدي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إليه الإنسان بالرأي، ولا مدخل له فيه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فاتخاذ الصحابي العادل مذهبًا له في القرآن لا بد أن يكون أخذه لهذا المذهب عن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طريق السماع أو التلقي عن الثقة العدل الضابط، فأصل السماع مقطوع به، ولا يبطله أن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التوصيف بالقرآنية خطأ أو منسوخ كما يفهم من كلام الحنفية، وزد على ذلك أن مضمون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القراءة ليس حكمًا اجتهاديًّا، ومذهبًا ورأيًا من عند الراوي؛ لأنه لا يمكن للراوي أن يسوق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رأيه من خلال تلاوة موهمًا في ذلك أنها قرآن يتلى؛ إذ إن لعرض القرآن على مسامع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الناس طريقة، ولعرض الرأي والمذهب طريقة أخرى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وما كان لهؤلاء العلماء الأجلاء العدول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أن يقولوا بالرأي أو يساووا بين الطريقتين أو يخلطوا على الناس ما هو 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القرآن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وما ليس من القرآن،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وما هو مقبول، وما هو غير مقبول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وبذا نجد أن احتجاج الحنفية بالقراءات الشاذة احتجاج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مبني على أساس سليم، وسند متين، وهو إذا صح سندها كانت حجة يجب العمل بها، والضابط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عندهم في تأييد حجيتهم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كما قلنا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إنها إما أن تكون قرآنًا نسخ تلاوة، وإما خبرًا وقع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على سبيل التفسير، وكل من القرآن والخبر يجب العمل به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ثانيًا: موقف المالكية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يرى صاحب (المعيار المعرب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>)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وهو مالكي المذهب: أن القراءة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الشاذة تجري مجرى خبر الواحد الذي لا يقطع على معينه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أن ينسب إلى الله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تعالى.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ومما يدل على أن السادة المالكية قد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استدلوا على بعض الأحكام الفقهية بالقراءات الشاذة ما نسبه صاحب كتاب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(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سبل السلام) إلى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الإمام مالك أنه استدل بقراءة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: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وله أخ أو أخت من أم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وأورد الإمام القرطبي، وهو مالكي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المذهب عند تفسيره لقول الله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تعالى: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AB3272">
        <w:rPr>
          <w:rFonts w:ascii="QCF_P030" w:hAnsi="QCF_P030" w:cs="QCF_P030"/>
          <w:b/>
          <w:bCs/>
          <w:sz w:val="18"/>
          <w:szCs w:val="18"/>
          <w:rtl/>
        </w:rPr>
        <w:t>ﮱ ﯓ ﯔ ﯕ</w:t>
      </w:r>
      <w:r w:rsidRPr="00AB3272">
        <w:rPr>
          <w:rFonts w:ascii="QCF_P030" w:hAnsi="QCF_P030" w:cs="DecoType Thuluth"/>
          <w:b/>
          <w:bCs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البقرة: 196] قرأ الشعبي وأبو حيوة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برفع التاء في العمرة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وأتموا الحج والعمرةُ لله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وهي تدل على عدم الوجوب، وقرأ الجماعة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AB32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AB3272">
        <w:rPr>
          <w:rFonts w:ascii="QCF_P030" w:hAnsi="QCF_P030" w:cs="QCF_P030"/>
          <w:b/>
          <w:bCs/>
          <w:sz w:val="18"/>
          <w:szCs w:val="18"/>
          <w:rtl/>
        </w:rPr>
        <w:t>ﮱ ﯓ ﯔ ﯕ</w:t>
      </w:r>
      <w:r w:rsidRPr="00AB3272">
        <w:rPr>
          <w:rFonts w:ascii="QCF_P030" w:hAnsi="QCF_P030" w:cs="DecoType Thuluth"/>
          <w:b/>
          <w:bCs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بنصب التاء، وهي تدل على الوجوب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فنراه قد طرح الحكمين،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ولم يبطل الاستدلال بقراءة الرفع التي تدل على عدم الوجوب، وهي قراءة شاذة، بينما قال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الإمام ابن العربي، وهو مالكي المذهب أيضًا في كتابه (أحكام القرآن): قرئ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يطوقون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بكسر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الطاء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قرئ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بكسر الطاء، وإسكان الياء، يطيقون، وقرئ بفتح الطاء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والياء وتشديدهما، وقرئ كذلك بتشديد الياء الثانية، لكن الأولى مضمومة، وقرئ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يطوقونه، والقراءة هي القراءة الأولى، وما وراءها وإن روي وأسند فهي شاذ، والقراءة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الشاذة لا ينبني عليها حكم؛ لأنه لم يثبت لها أصل،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لكن عبارته لم يثبت لها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أصل تدعو إلى العجب؛ إذ كيف لا يكون لها أصل، وقد رويت القراءة وأسندت، علمًا بأنه قد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بنى على الشواذ تفسيرات عديدة، كما في قوله تعالى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AB32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AB3272">
        <w:rPr>
          <w:rFonts w:ascii="QCF_P114" w:hAnsi="QCF_P114" w:cs="QCF_P114"/>
          <w:b/>
          <w:bCs/>
          <w:sz w:val="18"/>
          <w:szCs w:val="18"/>
          <w:rtl/>
        </w:rPr>
        <w:t>ﭟ ﭠ ﭡ ﭢ</w:t>
      </w:r>
      <w:r w:rsidRPr="00AB3272">
        <w:rPr>
          <w:rFonts w:ascii="QCF_P114" w:hAnsi="QCF_P114" w:cs="DecoType Thuluth"/>
          <w:b/>
          <w:bCs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المائدة: 38]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؛ إذ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قال: وكذلك روي عن ابن مسعود أنه قرأها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والسارقون والسارقات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ليبين إرادة العموم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ولكن مع أن المالكية قد استدلوا بالقراءات الشاذة في كثير من الأحكام؛ إلا أنه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قد روي عنهم رفض العمل بالقراءة الشاذة قائلين: بأن الشاذ ليس كتابًا ولا سنة، ولا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إجماعًا، ولا قياسًا، ولا غير ذلك من الأدلة الشرعية المعروفة، وراويه يقول عنه إنه قرآن،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وهو معترف بأنه ليس سنة ولا إجماعًا، ولا شيئًا يغاير القرآن، ثم لم يثبت مقالته ذلك ليس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بقرآن؛ لأنه خبر واحد، وليس خبرًا يصح العمل به؛ لأن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راويه معترف ليس خبرًا كذلك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ولو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سلّم أنه خبر لقيل: لكنه لم يثبت العمل بخبر يغلب على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الظن صحته،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ونظرًا لأن البعض نقله على أنه قرآن فأنه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يقطع فيه بالخطأ، وقد اتفق العلماء على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أن الخبر الذي يصح العمل به ما رواه الراوي صريحًا على أنه خبر نقل عن الرسول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وهذا ليس كذلك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ويرد على هذا الكلام بأن راويه لا يشك في أنه كان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قرآنًا، فإذا تركه بعد ذلك في التلاوة، وأبقاه في الحكم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فلدليل أدى إلى ذلك، وكما هو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معلوم أن العرضة الأخيرة نسخ منها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ما نسخ، وبقي ما بقي، وأن ما نسخ تلاوة لم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يكتب في المصاحف كحد المحصن والمحصنة، ولكنه باق في الحكم، وذلك بإجماع العلماء قاطبة،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وبورود الأدلة على بقاء الحكم، كذلك فإن راوي الشاذة معترف بأن ما وراءه خبر عن الله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تعالى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إلا أنه يعمل بأنه منسوخ التلاوة،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ولكن حكمه باق، فلماذا لا يصلح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العمل به، والاستدلال في إثبات الأحكام؟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وخلاصة القول أن القراءة الشاذة لا تكون حجة عند المالكية إلا إذا كان هناك خبر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آخر غير القراءة يؤكدها، أو سند قوي لها، فإنهم يأخذون بها ويعملون بمقتضاها، وذلك كما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في ميراث الإخوة لأم، فلم يستند المالكية إلى قراءة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وله أخ أو أخت من أم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فقط،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بل إنهم استندوا إلى الإجماع؛ لأن العلماء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قد أجمعوا على أن الإخوة لأم إذا انفرد الواحد منهم، فله حق الثلث فرضًا ذكرًا كان أو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أنثى، أو إنهم إن كانوا أكثر من واحد فهم شركاء في الثلث على السوية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وأيضًا أنهم قبلوا من الشاهد وحكموا به، ولم يوجد فيه تردد، وهو ما جاء توضيحًا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للمتواتر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وبيانًا للمراد منه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نقول: ما من قراءة لا تحمل حكمًا جديدًا من أساسه إلا وهي قابلة لأن تكون تفسيرية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يقبلها المالكية، وكم قبل ابن العربي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!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وإني لأعتبر قراءة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متتابعات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تقييدًا للمطلق وبيانًا للمراد، وعليه يلزم المالكية أن يقبلوها، ولا أفهم أنها حكم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جديد على الجادة، على ما ذكره الشيخ زكريا الأنصاري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ثالثًا: موقف الشافعية من القراءات الشاذة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يرى الشافعية أن العمل بالقراءات الشاذة جائز بشرط صحة الإسناد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أما وإذا لم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يصح سندها، فلا يحتجون بها، ومما يدل على ذلك ما ذكره الإمام الشافعي في كتابه (الأم)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في مسألة الرضاع حيث قال: أخبرنا مالك عن عبد الله بن أبي بكر بن محمد بن عمرو بن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حزم عن عمرة عن عائشة أم المؤمنين أنها قالت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كان فيما أنزل الله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تعالى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في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القرآن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عشر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رضعات معلومات يحرمن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ثم نسخن بخمس معلومات، فتوفي النبي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وهن مما يقرأ من القرآن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وكذلك قال الإمام الشافعي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رحمه الله تعالى: أخبرنا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سفيان عن يحيى بن سعيد عن عمرة عن عائشة أنها كانت تقول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نزل القرآن بعشر رضعات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معلومات يحرمن، ثم صرن إلى خمس يحرمن، فكان لا يدخل على عائشة إلا من استكمل خمس رضعات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وبهذا فقد استدل الإمام الشافعي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على أن عدد الرضعات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التي يثبت بها التحريم خمس، وقال: إنما أخذنا بخمس رضعات عن النبي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بحكاية عائشة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إنهن يحرمن، وإنهن من القرآن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واحتج الشافعية أيضًا في إيجاب قطع اليد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اليمنى من السارق بقراءة عبد الله بن مسعود </w:t>
      </w:r>
      <w:r w:rsidRPr="00AB3272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والسارق والسارقة فاقطعوا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أيمانهما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ويرى الماوردي أن القراءة الشاذة إن أضافها القارئ إلى التنزيل، أو إلى سماع 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النبي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أجريت مجرى الخبر الواحد، وإلا فهي جارية مجرى التأويل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وقال البلقيني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إن الأصحاب تكلموا على القراءة الشاذة فقالوا: إن أجريت مجرى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التفسير والبيان عمل بها، وإن لم تكن كذلك، فإن عارضها خبر مرفوع مقدم عليها أو قياس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ففي العمل بها قولان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وبذا نرى أن الشافعية يقبلون القراءة البيانية، ويعملون بها إذا صح سندها، ولم يكن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لها خبر يعارضها أو قياس، فإن عورضت القراءة بخبر مرفوع نظر فيهما على أنهما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متكافئان من جهة الخبرية والرفع، ويجمع بينها ما أمكن، فقد يكون تفسيرين جائزين بلا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ضرر، أما لو عارض البيانية قياس فهي مقدمة عليه، وهذا كله يفهم من كلام الإمام البلقيني، وهو من أعلام الشافعية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أقول: مثال القراءة التفسيرية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وله أخ أو أخت من أم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وأما غير التفسيرية إن عارضها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مرفوع قدم لقوته؛ إذ إن المرفوع بالفعل أقوى من المرفوع بالقوة، وأن الشاذة في رأي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بعضهم تحتمل أنها رأي، وليس كذلك في رأي أحد ذلك الخبر، فهو أقوى، وهم يقولون بتقديم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ما صرح برفعه على ما لم يصرح فيه بالرفع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ولكن قبل تقديم المرفوع على القراءة الشاذة ينبغي أن تبذل محاولة الجمع بينهما،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والعمل بهما ما أمكن؛ لأن الأصل إعمال الدليلين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ومثال القراءة الشاذة التي عارضها القياس ما جاء في مثل قوله تعالى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فصيام ثلاثة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أيام متتابعات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قال الإمام الشافعي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كل من وجب عليه صوم ليس بمشروط في كتاب الله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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أن يكون متتابعًا أجزأه أن يكون متفرقًا قياسًا على قول الله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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في قضاء رمضان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AB3272">
        <w:rPr>
          <w:rFonts w:ascii="QCF_P028" w:hAnsi="QCF_P028" w:cs="QCF_P028"/>
          <w:b/>
          <w:bCs/>
          <w:sz w:val="18"/>
          <w:szCs w:val="18"/>
          <w:rtl/>
        </w:rPr>
        <w:t>ﭼ ﭽ ﭾ ﭿ</w:t>
      </w:r>
      <w:r w:rsidRPr="00AB3272">
        <w:rPr>
          <w:rFonts w:ascii="QCF_P028" w:hAnsi="QCF_P028" w:cs="DecoType Thuluth"/>
          <w:b/>
          <w:bCs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البقرة: 184]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والعدة أن يأتي بعدد صوم 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ولاء فيه، والذي ورد عن الإمام الشافعي </w:t>
      </w:r>
      <w:r w:rsidRPr="00AB3272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في باب الصوم أنه قال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أفطر أيامًا من رمضان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من غير عذر مرض أو سفر قضاهن في أي وقت ما شاء في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ذي الحجة أو غيرها، وبينه وبين أن يأتي عليه رمضان آخر متفرقات أو مجتمعات؛ وذلك لأن الله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  <w:lang w:bidi="ar-EG"/>
        </w:rPr>
        <w:t>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يقول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AB32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AB3272">
        <w:rPr>
          <w:rFonts w:ascii="QCF_P028" w:hAnsi="QCF_P028" w:cs="QCF_P028"/>
          <w:b/>
          <w:bCs/>
          <w:sz w:val="18"/>
          <w:szCs w:val="18"/>
          <w:rtl/>
        </w:rPr>
        <w:t>ﭼ ﭽ ﭾ ﭿ</w:t>
      </w:r>
      <w:r w:rsidRPr="00AB3272">
        <w:rPr>
          <w:rFonts w:ascii="QCF_P028" w:hAnsi="QCF_P028" w:cs="DecoType Thuluth"/>
          <w:b/>
          <w:bCs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ولم يذكرهن متتابعات. وقد بلغنا عن بعض أصحاب النبي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أنه قال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إذا أحصيت العدة فصمهن كيف شئت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قال: وصوم كفارة اليمين متتابع، والله أعلم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وعلى كل، فالذي أراه أن القراءة التفسيرية وغير التفسيرية مقدمة على ما يعارضها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من قياس؛ لأنها من المأثور، والقياس من الرأي، والشافعي </w:t>
      </w:r>
      <w:r w:rsidRPr="00AB3272">
        <w:rPr>
          <w:rFonts w:cs="SC_ALYERMOOK" w:hint="cs"/>
          <w:b/>
          <w:bCs/>
          <w:position w:val="-4"/>
          <w:sz w:val="18"/>
          <w:szCs w:val="18"/>
          <w:rtl/>
        </w:rPr>
        <w:t>&gt;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يؤثر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المأثور، بل ويرى أن آراء الصحابة </w:t>
      </w:r>
      <w:r w:rsidRPr="00AB3272">
        <w:rPr>
          <w:rFonts w:cs="SC_ALYERMOOK" w:hint="cs"/>
          <w:b/>
          <w:bCs/>
          <w:position w:val="-4"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خير من آرائنا لأنفسنا، ولا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يخفى علينا أن القراءة التي يلازمها معنى هي قراءة مأثورة توقيفية، لا مجال للرأي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والقياس فيها، وبذا نجد أصحاب الشافعي يستدلون صراحة بالقراءات الشاذة في كثير 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الأحكام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بعد ذلك نبين موقف الحنابلة من القراءات الشاذة، والعمل بها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موقف الحنابلة: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رأى صاحب (سبل السلام): أن الناس كلهم احتجوا بهذه القراءة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أخ أو أخت من أم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وقال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إن الشافعي وأحمد عملا في الرضاع بخمس رضعات متفرقات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ولي وقفة مع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خمس رضعات متفرقات يحرمن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>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فإن قال قائل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فلم لم تحرم برضعة واحدة؟ وقد قال بعض من مضى أنها تحرم، قيل: بما حكينا أن عائشة تحكي أن الكتاب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يحرم عشر رضعات ثم نسخن بخمس، وبما حكينا أن النبي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قال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لا تحرم الرضعة، ولا تحرم الرضعتان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وأمر رسول الله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  <w:lang w:bidi="ar-EG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أن يرضع سالم ليحرم بهن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فدل ما حكت السيدة عائشة في الكتاب، وما قال رسول الله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: أن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الرضاع لا يحرم به على أقل ما يطلق عليه اسم الرضاع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وقد قال من مضى بما قالت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السيدة عائشة في الكتاب، ثم في السنة، والكفاية فيما حكت السيدة عائشة في الكتاب ثم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في السنة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إذن رأي صاحب (سبل السلام): أن الناس كلهم احتجوا بهذه القراءة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وله أخ أو أخت من أم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وقال الشافعي: أحمد عمل في الرضاع بخمس رضعات متفرقات يحرمن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وذكر ابن كثير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الحنابلة وآخرين قالوا بوجوب التتابع في الصيام كفارة اليمين؛ لأنه قد روي عن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أبي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بن كعب وغيره أنهم كانوا يقرءونها هكذا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فصيام ثلاثة أيام متتابعات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بل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إن الإمام ابن قدامة، وهو من علماء الحنابلة ذكر في كتابه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(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المغني شرح مختصر الخرقي) في الرضاع حديث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مسلم في تحريم العشر، ثم الخمس كما عند الشافعية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وفيه أقوال أخرى في المذهب الحنبلي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في هذه المسألة، وفيه في التتابع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ولنا أن في قراءة أبي، وعبد الله بن مسعود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فصيام ثلاثة أيام متتابعات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كذلك ذكره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الإمام أحمد في التفسير عن جماعة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وبناء على ما سبق نرى أن الإمام أحمد 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رحمه الله تعالى</w:t>
      </w:r>
      <w:r w:rsidRPr="00AB3272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قد وافق غيره في جواز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العمل بالقراءة الشاذة، بيد أن ابن قدامة ذكر كلامًا يفيد أن ما استدل به السادة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الحنابلة في الأحكام الشرعية؛ إما أن يكون قرآن أو خبر مرفوع ظنه راويه قرآنًا، وهذا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له رتبة الخبر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ولا ينقص عن درجة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تفسير النبي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للآية، وعلى كلا التقديرين،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وعلى كلا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التقديرين فهو حجة يصار إليه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ومعلوم أن قبول منسوخ التلاوة، والخبر المرفوع، والأثر الموقوف المرفوع حكمًا 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مجال للرأي فيه، وقبول الشاذ، وعدم قبوله، إنما ينظر فيه إلى كل واحد منهما، ولا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يؤخذ مباشرة إلا بعد مسوغ لقبوله، والشاذ الذي يؤخر عن الخبر إنما هو الشاذ الذي لا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يكون تفسيرًا أو يكون معارضًا بخبر مرفوع، وأما إذا كان معارضًا بقياس، ففيه قولان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بالتأخير والتقديم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بذا تبين لنا حكم الاحتجاج بالقراءات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الشاذة عند الأئمة الفقهاء، وفيما يلي ذكر بعض القراءات التي ترتب عليها أحكام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فقيهة مع بيان مذاهب العلماء في كل مسألة، وذكر أدلتهم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فلنبدأ بحكم الشيخ والشيخة الفاني</w:t>
      </w:r>
      <w:r w:rsidRPr="00AB3272">
        <w:rPr>
          <w:rFonts w:ascii="Simplified Arabic" w:hAnsi="Simplified Arabic" w:cs="AL-Hotham" w:hint="cs"/>
          <w:b/>
          <w:bCs/>
          <w:sz w:val="18"/>
          <w:szCs w:val="18"/>
          <w:rtl/>
        </w:rPr>
        <w:t>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ن إذا أفطرا في رمضان، يقول الحق </w:t>
      </w:r>
      <w:r w:rsidRPr="00AB3272">
        <w:rPr>
          <w:rFonts w:ascii="AGA Arabesque" w:hAnsi="AGA Arabesque" w:cs="Simplified Arabic"/>
          <w:b/>
          <w:bCs/>
          <w:position w:val="-4"/>
          <w:sz w:val="18"/>
          <w:szCs w:val="18"/>
        </w:rPr>
        <w:t>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AB32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AB3272">
        <w:rPr>
          <w:rFonts w:ascii="QCF_P028" w:hAnsi="QCF_P028" w:cs="QCF_P028"/>
          <w:b/>
          <w:bCs/>
          <w:sz w:val="18"/>
          <w:szCs w:val="18"/>
          <w:rtl/>
        </w:rPr>
        <w:t>ﭴﭵ ﭶ ﭷ ﭸ ﭹ ﭺ ﭻ ﭼ ﭽ ﭾ ﭿ ﮀ ﮁ ﮂ ﮃ ﮄ ﮅ ﮆ ﮇ ﮈ ﮉ ﮊ ﮋ ﮌ ﮍ ﮎ ﮏ ﮐ ﮑ ﮒ ﮓ ﮔ ﮕ ﮖ</w:t>
      </w:r>
      <w:r w:rsidRPr="00AB3272">
        <w:rPr>
          <w:rFonts w:ascii="QCF_P028" w:hAnsi="QCF_P028" w:cs="DecoType Thuluth"/>
          <w:b/>
          <w:bCs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البقرة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184]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هناك قراءات وردت في لفظ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فقد ورد في كلمة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قراءة متواترة،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وست قراءات شواذ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أما القراءة المتواترة فهي قوله تعالى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AB3272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AB3272">
        <w:rPr>
          <w:rFonts w:ascii="QCF_P028" w:hAnsi="QCF_P028" w:cs="QCF_P028"/>
          <w:b/>
          <w:bCs/>
          <w:sz w:val="18"/>
          <w:szCs w:val="18"/>
          <w:rtl/>
        </w:rPr>
        <w:t>ﮁ ﮂ ﮃ ﮄ ﮅ ﮆ</w:t>
      </w:r>
      <w:r w:rsidRPr="00AB3272">
        <w:rPr>
          <w:rFonts w:ascii="QCF_P028" w:hAnsi="QCF_P028" w:cs="DecoType Thuluth"/>
          <w:b/>
          <w:bCs/>
          <w:sz w:val="18"/>
          <w:szCs w:val="18"/>
          <w:rtl/>
        </w:rPr>
        <w:t>}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من أطاق يطيق،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بمعنى الإطاقة، وبها قرأ القراء العشرة، وأما القراءات الشاذة الواردة في كلمة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فأولها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لا يطيقونه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وهي قراءة السيدة حفصة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cs="SC_ALYERMOOK" w:hint="cs"/>
          <w:b/>
          <w:bCs/>
          <w:position w:val="-4"/>
          <w:sz w:val="18"/>
          <w:szCs w:val="18"/>
          <w:rtl/>
        </w:rPr>
        <w:t>&lt;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وثاني هذه القراءات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يطوقونه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مبنيًّا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للمفعول بمعنى: يجشمونه، ويكلفونه، ويجعل لهم كالطوق في أعناقهم، ورويت هذه القراءة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 xml:space="preserve">عن عبد الله بن عباس </w:t>
      </w:r>
      <w:r w:rsidRPr="00AB3272">
        <w:rPr>
          <w:rFonts w:cs="SC_ALYERMOOK" w:hint="cs"/>
          <w:b/>
          <w:bCs/>
          <w:spacing w:val="-4"/>
          <w:position w:val="-4"/>
          <w:sz w:val="18"/>
          <w:szCs w:val="18"/>
          <w:rtl/>
        </w:rPr>
        <w:t>&gt;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وعن سيدنا عبد الله بن مسعود، وسعيد بن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جبير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وثالث هذه القراءات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بتشديد الطاء والواو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يطوقونه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وأصلها يتطوّقون، فأبدلت التاء طاء، ثم أدغمت في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الطاء بعدها، والمعنى يتكلفونه ويتجشمونه،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وبهذه القراءة قرأت السيدة عائشة،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ومجاهد، وطاوس، وعمرو بن دينار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ورابع هذه القراءات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بفتح الياء وتشديد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الطاء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يَطّيقونه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ورويت هذه القراءة عن سيدنا عبد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الله بن عباس، ومجاهد، وبها قرأ عكرمة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القراءة الخامسة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يطيقونه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بتشديد الياء وكسرها، وبها قرأ سعيد بن المسيب،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ورويت عن ابن عباس، ومجاهد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AB3272" w:rsidRPr="00AB3272" w:rsidRDefault="00AB3272" w:rsidP="00AB3272">
      <w:pPr>
        <w:spacing w:after="0" w:line="240" w:lineRule="auto"/>
        <w:jc w:val="center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القراءة السادسة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يطوقونه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</w:rPr>
        <w:t>من أطوق، وبها قرأ حميد</w:t>
      </w:r>
      <w:r w:rsidRPr="00AB3272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AB3272" w:rsidRPr="00AB3272" w:rsidRDefault="00AB3272" w:rsidP="00AB3272">
      <w:pPr>
        <w:spacing w:after="0" w:line="240" w:lineRule="auto"/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AB3272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AB3272" w:rsidRPr="00AB3272" w:rsidRDefault="00AB3272" w:rsidP="00AB3272">
      <w:pPr>
        <w:spacing w:after="0" w:line="240" w:lineRule="auto"/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AB3272" w:rsidRPr="00AB3272" w:rsidRDefault="00AB3272" w:rsidP="00AB3272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AB3272" w:rsidRPr="00AB3272" w:rsidRDefault="00AB3272" w:rsidP="00AB3272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AB3272" w:rsidRPr="00AB3272" w:rsidRDefault="00AB3272" w:rsidP="00AB3272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AB3272" w:rsidRPr="00AB3272" w:rsidRDefault="00AB3272" w:rsidP="00AB3272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AB3272" w:rsidRPr="00AB3272" w:rsidRDefault="00AB3272" w:rsidP="00AB3272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AB3272" w:rsidRPr="00AB3272" w:rsidRDefault="00AB3272" w:rsidP="00AB3272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الحسين بن احمد ابن خالويه، دار الهجرة،  1934م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AB3272" w:rsidRPr="00AB3272" w:rsidRDefault="00AB3272" w:rsidP="00AB3272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AB3272" w:rsidRPr="00AB3272" w:rsidRDefault="00AB3272" w:rsidP="00AB3272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AB3272" w:rsidRPr="00AB3272" w:rsidRDefault="00AB3272" w:rsidP="00AB3272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AB3272" w:rsidRPr="00AB3272" w:rsidRDefault="00AB3272" w:rsidP="00AB3272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AB3272" w:rsidRPr="00AB3272" w:rsidRDefault="00AB3272" w:rsidP="00AB3272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AB3272" w:rsidRPr="00AB3272" w:rsidRDefault="00AB3272" w:rsidP="00AB3272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AB3272" w:rsidRPr="00AB3272" w:rsidRDefault="00AB3272" w:rsidP="00AB3272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AB3272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AB3272" w:rsidRPr="00AB3272" w:rsidRDefault="00AB3272" w:rsidP="00AB327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sectPr w:rsidR="00AB3272" w:rsidRPr="00AB3272" w:rsidSect="00AB3272">
      <w:type w:val="continuous"/>
      <w:pgSz w:w="11906" w:h="16838"/>
      <w:pgMar w:top="993" w:right="566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0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3272"/>
    <w:rsid w:val="001A2769"/>
    <w:rsid w:val="004168A0"/>
    <w:rsid w:val="004219C3"/>
    <w:rsid w:val="004A286F"/>
    <w:rsid w:val="00AB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B32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32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1975</Words>
  <Characters>11263</Characters>
  <Application>Microsoft Office Word</Application>
  <DocSecurity>0</DocSecurity>
  <Lines>93</Lines>
  <Paragraphs>26</Paragraphs>
  <ScaleCrop>false</ScaleCrop>
  <Company>Fannan</Company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2013-06-16T15:33:00Z</dcterms:created>
  <dcterms:modified xsi:type="dcterms:W3CDTF">2013-06-16T15:37:00Z</dcterms:modified>
</cp:coreProperties>
</file>