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C3" w:rsidRDefault="00A11C16" w:rsidP="00A11C16">
      <w:pPr>
        <w:spacing w:before="60" w:after="0" w:line="240" w:lineRule="auto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  <w:lang w:bidi="ar-EG"/>
        </w:rPr>
      </w:pPr>
      <w:r w:rsidRPr="00A11C16">
        <w:rPr>
          <w:rFonts w:asciiTheme="majorBidi" w:eastAsia="Calibri" w:hAnsiTheme="majorBidi" w:cstheme="majorBidi" w:hint="cs"/>
          <w:b/>
          <w:bCs/>
          <w:sz w:val="48"/>
          <w:szCs w:val="48"/>
          <w:rtl/>
          <w:lang w:bidi="ar-EG"/>
        </w:rPr>
        <w:t>سمات كتاب (المحتسب) في توجيه القراءات الشواذ</w:t>
      </w:r>
    </w:p>
    <w:p w:rsidR="00A11C16" w:rsidRDefault="00A11C16" w:rsidP="00A11C16">
      <w:pPr>
        <w:spacing w:before="60" w:after="0" w:line="240" w:lineRule="auto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  <w:lang w:bidi="ar-EG"/>
        </w:rPr>
      </w:pPr>
    </w:p>
    <w:p w:rsidR="00A11C16" w:rsidRPr="00F7753E" w:rsidRDefault="00A11C16" w:rsidP="00A11C16">
      <w:pPr>
        <w:spacing w:after="0" w:line="240" w:lineRule="auto"/>
        <w:jc w:val="center"/>
        <w:rPr>
          <w:rFonts w:asciiTheme="majorBidi" w:eastAsia="Calibri" w:hAnsiTheme="majorBidi" w:cstheme="majorBidi"/>
          <w:sz w:val="18"/>
          <w:szCs w:val="18"/>
          <w:rtl/>
          <w:lang w:bidi="ar-EG"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  <w:lang w:bidi="ar-EG"/>
        </w:rPr>
        <w:t>القراءات الشاذه</w:t>
      </w:r>
    </w:p>
    <w:p w:rsidR="00A11C16" w:rsidRPr="00426F7E" w:rsidRDefault="00A11C16" w:rsidP="00A11C16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A11C16" w:rsidRPr="00426F7E" w:rsidRDefault="00A11C16" w:rsidP="00A11C16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A11C16" w:rsidRPr="00426F7E" w:rsidRDefault="00A11C16" w:rsidP="00A11C16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A11C16" w:rsidRPr="00426F7E" w:rsidRDefault="00A11C16" w:rsidP="00A11C16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A11C16" w:rsidRDefault="00A11C16" w:rsidP="00A11C16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  <w:lang w:bidi="ar-EG"/>
          </w:rPr>
          <w:t>Ahmedmsamir54@gmail.com</w:t>
        </w:r>
      </w:hyperlink>
    </w:p>
    <w:p w:rsidR="00A11C16" w:rsidRPr="00426F7E" w:rsidRDefault="00A11C16" w:rsidP="00A11C16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</w:p>
    <w:p w:rsidR="00A11C16" w:rsidRDefault="00A11C16" w:rsidP="00A11C16">
      <w:pPr>
        <w:spacing w:before="6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A11C16" w:rsidSect="00A11C16">
          <w:pgSz w:w="11906" w:h="16838"/>
          <w:pgMar w:top="1440" w:right="849" w:bottom="1440" w:left="1800" w:header="708" w:footer="708" w:gutter="0"/>
          <w:cols w:space="708"/>
          <w:bidi/>
          <w:rtlGutter/>
          <w:docGrid w:linePitch="360"/>
        </w:sectPr>
      </w:pPr>
    </w:p>
    <w:p w:rsidR="00A11C16" w:rsidRPr="00A11C16" w:rsidRDefault="00A11C16" w:rsidP="00A11C16">
      <w:pPr>
        <w:spacing w:before="60" w:after="0" w:line="240" w:lineRule="auto"/>
        <w:jc w:val="center"/>
        <w:rPr>
          <w:rFonts w:asciiTheme="majorBidi" w:eastAsia="Calibri" w:hAnsiTheme="majorBidi" w:cstheme="majorBidi"/>
          <w:b/>
          <w:bCs/>
          <w:sz w:val="48"/>
          <w:szCs w:val="48"/>
          <w:rtl/>
          <w:lang w:bidi="ar-EG"/>
        </w:rPr>
      </w:pPr>
      <w:r w:rsidRPr="00916DA5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A11C16">
        <w:rPr>
          <w:rFonts w:asciiTheme="majorBidi" w:eastAsia="Calibri" w:hAnsiTheme="majorBidi" w:cstheme="majorBidi" w:hint="cs"/>
          <w:b/>
          <w:bCs/>
          <w:sz w:val="48"/>
          <w:szCs w:val="48"/>
          <w:rtl/>
          <w:lang w:bidi="ar-EG"/>
        </w:rPr>
        <w:t>سمات كتاب (المحتسب) في توجيه القراءات الشواذ</w:t>
      </w:r>
    </w:p>
    <w:p w:rsidR="00A11C16" w:rsidRPr="00916DA5" w:rsidRDefault="00A11C16" w:rsidP="00A11C16">
      <w:pPr>
        <w:spacing w:before="6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916DA5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المحتسب، المستقرئ، يدرك</w:t>
      </w:r>
    </w:p>
    <w:p w:rsidR="00A11C16" w:rsidRPr="00916DA5" w:rsidRDefault="00A11C16" w:rsidP="00A11C16">
      <w:pPr>
        <w:numPr>
          <w:ilvl w:val="0"/>
          <w:numId w:val="2"/>
        </w:numPr>
        <w:spacing w:before="60" w:line="240" w:lineRule="auto"/>
        <w:ind w:left="0" w:firstLine="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16DA5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A11C16" w:rsidRDefault="00A11C16" w:rsidP="00A11C16">
      <w:pPr>
        <w:spacing w:before="60" w:after="0" w:line="240" w:lineRule="auto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  <w:lang w:bidi="ar-EG"/>
        </w:rPr>
      </w:pPr>
      <w:r w:rsidRPr="00916DA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A11C16">
        <w:rPr>
          <w:rFonts w:asciiTheme="majorBidi" w:eastAsia="Calibri" w:hAnsiTheme="majorBidi" w:cstheme="majorBidi" w:hint="cs"/>
          <w:b/>
          <w:bCs/>
          <w:sz w:val="48"/>
          <w:szCs w:val="48"/>
          <w:rtl/>
          <w:lang w:bidi="ar-EG"/>
        </w:rPr>
        <w:t>سمات كتاب (المحتسب) في توجيه القراءات الشواذ</w:t>
      </w:r>
    </w:p>
    <w:p w:rsidR="00A11C16" w:rsidRPr="00916DA5" w:rsidRDefault="00A11C16" w:rsidP="00A11C16">
      <w:pPr>
        <w:spacing w:before="60" w:line="240" w:lineRule="auto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:rsidR="00A11C16" w:rsidRPr="00916DA5" w:rsidRDefault="00A11C16" w:rsidP="00A11C16">
      <w:pPr>
        <w:numPr>
          <w:ilvl w:val="0"/>
          <w:numId w:val="3"/>
        </w:numPr>
        <w:spacing w:line="240" w:lineRule="auto"/>
        <w:ind w:left="0" w:firstLine="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16DA5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A11C16" w:rsidRDefault="00A11C16" w:rsidP="00A11C16">
      <w:pPr>
        <w:spacing w:before="60" w:after="0" w:line="240" w:lineRule="auto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  <w:lang w:bidi="ar-EG"/>
        </w:rPr>
      </w:pP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الناظر لكتاب (المحتسب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)</w:t>
      </w:r>
      <w:r w:rsidRPr="004832EA">
        <w:rPr>
          <w:rFonts w:ascii="Simplified Arabic" w:hAnsi="Simplified Arabic" w:cs="AL-Hotham"/>
          <w:sz w:val="32"/>
          <w:szCs w:val="32"/>
          <w:rtl/>
        </w:rPr>
        <w:t>، والمستقرئ لنصوصه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يدرك أن سمات التوجيه عند ابن جني تنقسم إلى قسمين: أحدهما: سمات عامة، لم يخرج فيها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عن أساليب من سلفه من النحاة،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وثانيهما: سمات خاصة امتاز بها عن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سائر من سواه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. 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والآن مع السمات العامة، فالسمات العامة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تنحصر فيما يلي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b/>
          <w:bCs/>
          <w:sz w:val="32"/>
          <w:szCs w:val="32"/>
          <w:rtl/>
        </w:rPr>
        <w:t>أولًا: بساطة التوجيه: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 وتتحقق هذه السمة فيما يأتي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: 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2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lastRenderedPageBreak/>
        <w:t>أحيانًا يكتفي في توجيه عدد من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الشواذ بشرح الجانب النحوي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شرحًا واضحًا يسلم إلى الوجه المراد من غير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تعنت، أو تكلف. مثال ذلك: موقفه من قراءة ابن مسعود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وإن كل إلا ليوفينهم ربك أعمالهم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ذهب إلى أن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إن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فيها نافية، وما كل، وإن القسم محذوف، ثم مثل لها بقوله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زيد إلا لاضربته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وأحيانًا أخرى يكتفي بشرح وجه القراءة، فيبين معناها، ويفسر وجهها، ويظهر المحذوف إن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وجد، مثال ذلك: تفصيله لقراءة عمرو بن فائد الأسواري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قل فأتوا بسورة من مثله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 فقد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قرر أنها على حذف الموصوف، وإقامة الصفة مقامه، ثم قال: أي بسورة كلامي، والقراءة هكذا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قل فأتوا بسورة مثله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أي: بسورة كلام مثله، أو حديث مثله، أو ذكر مثله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2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كما أنه في بعض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القراءات قد يكتفي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بتقرير وجه القراءة النحوي فقط من غير تمثيل، أو شرح، أو تقدير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. </w:t>
      </w:r>
      <w:r w:rsidRPr="004832EA">
        <w:rPr>
          <w:rFonts w:ascii="Simplified Arabic" w:hAnsi="Simplified Arabic" w:cs="AL-Hotham"/>
          <w:sz w:val="32"/>
          <w:szCs w:val="32"/>
          <w:rtl/>
        </w:rPr>
        <w:t>مثال ذلك: قوله في قراءة الحسن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يا أيها الذين آمنوا عليكم أنفسُكم لا يضركم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 w:hint="cs"/>
          <w:rtl/>
          <w:lang w:bidi="ar-EG"/>
        </w:rPr>
        <w:t>[</w:t>
      </w:r>
      <w:r w:rsidRPr="004832EA">
        <w:rPr>
          <w:rFonts w:ascii="Simplified Arabic" w:hAnsi="Simplified Arabic" w:cs="AL-Hotham"/>
          <w:rtl/>
        </w:rPr>
        <w:t>المائدة: 105]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 حيث قال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: </w:t>
      </w:r>
      <w:r w:rsidRPr="004832EA">
        <w:rPr>
          <w:rFonts w:ascii="Simplified Arabic" w:hAnsi="Simplified Arabic" w:cs="AL-Hotham"/>
          <w:sz w:val="32"/>
          <w:szCs w:val="32"/>
          <w:rtl/>
        </w:rPr>
        <w:t>جزم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يضركم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؛ لأنه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جعل جواب الأمر أعني قوله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عليكم أنفسكم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بل أنه قد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يقتضب عبارته جدًّا في بعض الأحيان كقوله في </w:t>
      </w:r>
      <w:r w:rsidRPr="004832EA">
        <w:rPr>
          <w:rFonts w:ascii="Simplified Arabic" w:hAnsi="Simplified Arabic" w:cs="AL-Hotham"/>
          <w:sz w:val="32"/>
          <w:szCs w:val="32"/>
          <w:rtl/>
        </w:rPr>
        <w:lastRenderedPageBreak/>
        <w:t>قراءة أبي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وإذ قال إبراهيم لأبيه آزر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وأما آزر فنداء. وبهذا نرى أن هذه البساطة في التوجيه تعود بالطبع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إلى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بساطة الوجه النحوي، وسهولة مأتاه، وتعود إلى اطراده وشيوعه، فهو في غنى عن الأساليب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الأخرى التي تكشف عنه، أو تساعد عليه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b/>
          <w:bCs/>
          <w:sz w:val="32"/>
          <w:szCs w:val="32"/>
          <w:rtl/>
        </w:rPr>
        <w:t>ثانيًا: كثرة الوجوه النحوية للقراءة الشاذة: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 ومن الطبيعي أن تكثر الوجوه النحوية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للقراءات الشاذة عند ابن جني؛ وذلك بالقياس إلى وفرتها لدى عدد ممن تقدمه من النحاة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كالفراء، وغيره الذين أعملوا يد التوجيه في عدد كبير من القراءات الشاذة، والمشهورة، وبالقياس أيضًا إلى وفرة الآراء النحوية، والمذاهب التي عنى بها ابن جني في القراءات،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وفي غيرها من المسائل لتأخر زمانه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both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كان أبو الفتح يمتاز في تخريج بعض القراءات من وجهين، وبعض القراءات من ثلاثة أوجه،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وبعضها من أربعة، وبعضها من خمسة أوجه، وكان في كل وجه يذهب إليه يحتج له، أو يستدل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عليه، أو يشرحه، ويفنده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على أن أغلب توجيهاته كان من وجهين، وذلك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كتوجيهه قراءة الحسن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: </w:t>
      </w:r>
      <w:r w:rsidRPr="004832EA">
        <w:rPr>
          <w:rFonts w:ascii="Simplified Arabic" w:hAnsi="Simplified Arabic" w:cs="DecoType Thuluth"/>
          <w:sz w:val="30"/>
          <w:szCs w:val="30"/>
          <w:rtl/>
          <w:lang w:bidi="ar-EG"/>
        </w:rPr>
        <w:t>{</w:t>
      </w:r>
      <w:r w:rsidRPr="004832EA">
        <w:rPr>
          <w:rFonts w:ascii="QCF_P575" w:hAnsi="QCF_P575" w:cs="QCF_P575"/>
          <w:sz w:val="30"/>
          <w:szCs w:val="30"/>
          <w:rtl/>
        </w:rPr>
        <w:t>ﯜ ﯝ ﯞ</w:t>
      </w:r>
      <w:r w:rsidRPr="004832EA">
        <w:rPr>
          <w:rFonts w:ascii="QCF_P575" w:hAnsi="QCF_P575" w:cs="DecoType Thuluth"/>
          <w:sz w:val="30"/>
          <w:szCs w:val="30"/>
          <w:rtl/>
        </w:rPr>
        <w:t>}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rtl/>
          <w:lang w:bidi="ar-EG"/>
        </w:rPr>
        <w:t>[</w:t>
      </w:r>
      <w:r w:rsidRPr="004832EA">
        <w:rPr>
          <w:rFonts w:ascii="Simplified Arabic" w:hAnsi="Simplified Arabic" w:cs="AL-Hotham"/>
          <w:rtl/>
        </w:rPr>
        <w:t>المدثر: 6]</w:t>
      </w:r>
      <w:r w:rsidRPr="004832EA">
        <w:rPr>
          <w:rFonts w:ascii="Simplified Arabic" w:hAnsi="Simplified Arabic" w:cs="AL-Hotham"/>
          <w:sz w:val="32"/>
          <w:szCs w:val="32"/>
          <w:rtl/>
        </w:rPr>
        <w:t>، فقد ذهب إلى أن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تستكثر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إما بدل من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تمنن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 وإما أن تسكين الراء كان تخفيفًا؛ لتوالي الحركات، وقد يرتفع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بالوجوه إلى ثلاثة، كما في توجيهه لقراءة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أنى يكون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له ولد ولم يكن له صاحبة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 أو إلى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أربعة كما في قراءة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ولهم ما يدعون سلام قولا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، ولكنه نادرًا </w:t>
      </w:r>
      <w:r w:rsidRPr="004832EA">
        <w:rPr>
          <w:rFonts w:ascii="Simplified Arabic" w:hAnsi="Simplified Arabic" w:cs="AL-Hotham"/>
          <w:sz w:val="32"/>
          <w:szCs w:val="32"/>
          <w:rtl/>
        </w:rPr>
        <w:lastRenderedPageBreak/>
        <w:t>ما يوصلها إلى خمسة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كما في قراءة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وهذا بعلي شيخ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". 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وكان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Traditional Arabic"/>
          <w:sz w:val="32"/>
          <w:szCs w:val="32"/>
          <w:rtl/>
          <w:lang w:bidi="ar-EG"/>
        </w:rPr>
        <w:t>-</w:t>
      </w:r>
      <w:r w:rsidRPr="004832EA">
        <w:rPr>
          <w:rFonts w:ascii="Simplified Arabic" w:hAnsi="Simplified Arabic" w:cs="AL-Hotham"/>
          <w:sz w:val="32"/>
          <w:szCs w:val="32"/>
          <w:rtl/>
        </w:rPr>
        <w:t>رحمه الله تعالى</w:t>
      </w:r>
      <w:r w:rsidRPr="004832EA">
        <w:rPr>
          <w:rFonts w:ascii="Simplified Arabic" w:hAnsi="Simplified Arabic" w:cs="Traditional Arabic"/>
          <w:sz w:val="32"/>
          <w:szCs w:val="32"/>
          <w:rtl/>
        </w:rPr>
        <w:t>-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 قلما يساوي بين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الوجوه المعروفة، وذلك كان يقول: وهذا حسن عندي، وقول أبي عل</w:t>
      </w:r>
      <w:r w:rsidRPr="004832EA">
        <w:rPr>
          <w:rFonts w:ascii="Simplified Arabic" w:hAnsi="Simplified Arabic" w:cs="AL-Hotham" w:hint="cs"/>
          <w:sz w:val="32"/>
          <w:szCs w:val="32"/>
          <w:rtl/>
        </w:rPr>
        <w:t>ي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 وجه مأخوذ به، وإنما يقف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إلى جانب بعض الوجوه،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فيؤثرها على غيرها،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أو يعلن ذلك صراحة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فيقول: والأول أجود، أو وهو أمثل، أو وأظهرهما، ومرد هذا التفصيل، والتفضيل عنده </w:t>
      </w:r>
      <w:r w:rsidRPr="004832EA">
        <w:rPr>
          <w:rFonts w:ascii="Simplified Arabic" w:hAnsi="Simplified Arabic" w:cs="Traditional Arabic"/>
          <w:sz w:val="32"/>
          <w:szCs w:val="32"/>
          <w:rtl/>
        </w:rPr>
        <w:t>-</w:t>
      </w:r>
      <w:r w:rsidRPr="004832EA">
        <w:rPr>
          <w:rFonts w:ascii="Simplified Arabic" w:hAnsi="Simplified Arabic" w:cs="AL-Hotham"/>
          <w:sz w:val="32"/>
          <w:szCs w:val="32"/>
          <w:rtl/>
        </w:rPr>
        <w:t>كما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يقول</w:t>
      </w:r>
      <w:r w:rsidRPr="004832EA">
        <w:rPr>
          <w:rFonts w:ascii="Simplified Arabic" w:hAnsi="Simplified Arabic" w:cs="Traditional Arabic"/>
          <w:sz w:val="32"/>
          <w:szCs w:val="32"/>
          <w:rtl/>
        </w:rPr>
        <w:t>-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 إلى إيثاره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السماحة، والسهولة في التوجيه على الإغراب فيه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ومن إيثاره بعض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الوجوه نذكر توجيهه لقراءة السلمي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وكذلك زين لكثير من المشركين قتل أولادهم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شركاؤهم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 فقد ذكر أن لها وجهين، ثم قال: أحدهما: وهو الوجه أن يكون مرفوعًا بفعل مضمر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دل عليه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قوله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زين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كأنه لما قال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زين لكثير من المشركين قتل أولادهم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قيل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: </w:t>
      </w:r>
      <w:r w:rsidRPr="004832EA">
        <w:rPr>
          <w:rFonts w:ascii="Simplified Arabic" w:hAnsi="Simplified Arabic" w:cs="AL-Hotham"/>
          <w:sz w:val="32"/>
          <w:szCs w:val="32"/>
          <w:rtl/>
        </w:rPr>
        <w:t>من زينه لهم؟ فقيل: زينه لهم شركاؤهم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. 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 w:hint="cs"/>
          <w:sz w:val="32"/>
          <w:szCs w:val="32"/>
          <w:rtl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أما الوجه الآخر الذي ذكره ثم تركه: فهو لقطرب، وهو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أن الشركاء مرفوعة؛ لأنها فاعل للمصدر قتل كأنه قال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وكذلك زين لكثير من المشركين أن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قتل شركاؤهم أولادهم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ولعل الدافع إلى ذلك: هو وفرة الوجوه النحوية مجالًا خصبًا لابن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جني في اختيار الوجوه التي تناسب منهجه النحوي، ولم يكن له ذلك المجال الواسع لولا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كثرة الآراء التي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سبق إليها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b/>
          <w:bCs/>
          <w:sz w:val="32"/>
          <w:szCs w:val="32"/>
          <w:rtl/>
        </w:rPr>
        <w:lastRenderedPageBreak/>
        <w:t>ثالثًا: استعانة ابن جني بآراء النحاة، وتصريحه بذلك: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 اعتمد ابن جني في (المحتسب) على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آراء عدد من النحاة المتقدمين، واتكأ بشكل خاص على آراء سيبويه، وأبي الحسن الأخفش،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وأستاذه أبي علي الفارسي، وكان من هذه الآراء ما قيل في القراءات الشاذة نفسها، ومنها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ما قيل في مجالات أخرى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لقد استعان أبو الفتح بآراء أعلام النحاة الذين سبقوه، وكان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اعتماده في بعض الأحيان أساسي</w:t>
      </w:r>
      <w:r w:rsidRPr="004832EA">
        <w:rPr>
          <w:rFonts w:ascii="Simplified Arabic" w:hAnsi="Simplified Arabic" w:cs="AL-Hotham" w:hint="cs"/>
          <w:sz w:val="32"/>
          <w:szCs w:val="32"/>
          <w:rtl/>
        </w:rPr>
        <w:t>ًّ</w:t>
      </w:r>
      <w:r w:rsidRPr="004832EA">
        <w:rPr>
          <w:rFonts w:ascii="Simplified Arabic" w:hAnsi="Simplified Arabic" w:cs="AL-Hotham"/>
          <w:sz w:val="32"/>
          <w:szCs w:val="32"/>
          <w:rtl/>
        </w:rPr>
        <w:t>ا، لا يملك في توجيه القراءة غيره، نذكر من ذلك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: </w:t>
      </w:r>
      <w:r w:rsidRPr="004832EA">
        <w:rPr>
          <w:rFonts w:ascii="Simplified Arabic" w:hAnsi="Simplified Arabic" w:cs="AL-Hotham"/>
          <w:sz w:val="32"/>
          <w:szCs w:val="32"/>
          <w:rtl/>
        </w:rPr>
        <w:t>استعانته برأي قطرب، والفارسي في توجيه قراءة الحسن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ما أنتم عليه بفاتنين </w:t>
      </w:r>
      <w:r w:rsidRPr="004832EA">
        <w:rPr>
          <w:rFonts w:ascii="Simplified Arabic" w:hAnsi="Simplified Arabic" w:cs="AL-Hotham" w:hint="cs"/>
          <w:sz w:val="32"/>
          <w:szCs w:val="32"/>
          <w:rtl/>
        </w:rPr>
        <w:t xml:space="preserve">* </w:t>
      </w:r>
      <w:r w:rsidRPr="004832EA">
        <w:rPr>
          <w:rFonts w:ascii="Simplified Arabic" w:hAnsi="Simplified Arabic" w:cs="AL-Hotham"/>
          <w:sz w:val="32"/>
          <w:szCs w:val="32"/>
          <w:rtl/>
        </w:rPr>
        <w:t>إلا من هو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صالي الجحيم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 w:hint="cs"/>
          <w:sz w:val="32"/>
          <w:szCs w:val="32"/>
          <w:rtl/>
        </w:rPr>
        <w:t xml:space="preserve"> </w:t>
      </w:r>
      <w:r w:rsidRPr="004832EA">
        <w:rPr>
          <w:rFonts w:ascii="Simplified Arabic" w:hAnsi="Simplified Arabic" w:cs="AL-Hotham" w:hint="cs"/>
          <w:rtl/>
        </w:rPr>
        <w:t>[الصافات: 162، 163]</w:t>
      </w:r>
      <w:r w:rsidRPr="004832EA">
        <w:rPr>
          <w:rFonts w:ascii="Simplified Arabic" w:hAnsi="Simplified Arabic" w:cs="AL-Hotham"/>
          <w:sz w:val="32"/>
          <w:szCs w:val="32"/>
          <w:rtl/>
        </w:rPr>
        <w:t>، فقد ذهب قطرب أنه أراد جمع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صالوا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إلا من هو صالو الجحيم أي: صالون، ثم حذف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النون للإضافة، وأبقى الواو، ثم حذفها من اللفظ؛ لالتقاء الساكنين، ثم حمل ذلك على معنى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من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؛ لأنه جمع. أما الفارسي: فيرى أن لام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صال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حذفت تخفيفًا، ثم أعربت اللام بالضم،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كما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حذفت لام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بال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من قولهم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ما بالت به بال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 وهي البلية كالعافية، والعاقبة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48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وكان اعتماده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على بعض هذه الآراء ثانوي</w:t>
      </w:r>
      <w:r w:rsidRPr="004832EA">
        <w:rPr>
          <w:rFonts w:ascii="Simplified Arabic" w:hAnsi="Simplified Arabic" w:cs="AL-Hotham" w:hint="cs"/>
          <w:sz w:val="32"/>
          <w:szCs w:val="32"/>
          <w:rtl/>
        </w:rPr>
        <w:t>ًّ</w:t>
      </w:r>
      <w:r w:rsidRPr="004832EA">
        <w:rPr>
          <w:rFonts w:ascii="Simplified Arabic" w:hAnsi="Simplified Arabic" w:cs="AL-Hotham"/>
          <w:sz w:val="32"/>
          <w:szCs w:val="32"/>
          <w:rtl/>
        </w:rPr>
        <w:t>ا، يورده للاستئناس، أو ذيل</w:t>
      </w:r>
      <w:r w:rsidRPr="004832EA">
        <w:rPr>
          <w:rFonts w:ascii="Simplified Arabic" w:hAnsi="Simplified Arabic" w:cs="AL-Hotham" w:hint="cs"/>
          <w:sz w:val="32"/>
          <w:szCs w:val="32"/>
          <w:rtl/>
        </w:rPr>
        <w:t>ً</w:t>
      </w:r>
      <w:r w:rsidRPr="004832EA">
        <w:rPr>
          <w:rFonts w:ascii="Simplified Arabic" w:hAnsi="Simplified Arabic" w:cs="AL-Hotham"/>
          <w:sz w:val="32"/>
          <w:szCs w:val="32"/>
          <w:rtl/>
        </w:rPr>
        <w:t>ا لتوجيه طويل، وهو في الغالب ينقل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فيه حكايات صاحب الكتاب، وتجارب أستاذه الفارسي، وآراء سعيد بن مسعدة أبي الحسن التي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كان معجبًا بها إلى حد كبير، من ذلك قوله: والذي ذكرناه في هذا رأي أبي الحسن، وما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أحسنه، وما أحسن ما ذهب إليه أبو الحسن، </w:t>
      </w:r>
      <w:r w:rsidRPr="004832EA">
        <w:rPr>
          <w:rFonts w:ascii="Simplified Arabic" w:hAnsi="Simplified Arabic" w:cs="AL-Hotham"/>
          <w:sz w:val="32"/>
          <w:szCs w:val="32"/>
          <w:rtl/>
        </w:rPr>
        <w:lastRenderedPageBreak/>
        <w:t>إلا أنه لم يكن يسلم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إلا أنه لم يكن يسلم بكل ما يقوله هؤلاء النحاة، بل كان يناقشهم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ويرد بعض توجيهاتهم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. 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48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وبذا نراه لم يكن في (المحتسب) مجرد ناقل للآراء، أو توجيهات، بل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كان يقود هذه الآراء، ويخضعها لمناسباته وفق ما تقتضيه مقاييسه، وما تستجيب له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القراءات، بل أنه لم يكن يتورع عن مناقشة بعضها، أو إدحاضه غير مفرق في ذلك بين بصري،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وكوفي، وإن كان يميل في الأغلب إلى أصحابه البصريين، فقد أدحض قراءة سعيد بن جبير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هؤلاء بناتي هن أطهرَ لكم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على توجيه سيبويه، وقوله فيها قبيحة؛ لأنه جعلهن فصلًا، وهي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ليست بين أحد الجزأين، وقال بعد أن خرجها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فأما ما ذهب إليه سيبويه ففاسد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كما أدحض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بعض أقوال الكوفيين بعد مناقشتها، وآراء للفراء، والأخفش، وناقش المبرد، وحمل عليه؛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لتخطئته سيبويه في بعض المواضع، كما ناقش ابن مجاهد، ورد بعض توجيهاته، فابن جني ذو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شخصية واضحة في استخدامه الآراء، ومناقشته لها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 w:hint="cs"/>
          <w:sz w:val="32"/>
          <w:szCs w:val="32"/>
          <w:rtl/>
          <w:lang w:bidi="ar-EG"/>
        </w:rPr>
      </w:pPr>
      <w:r w:rsidRPr="004832EA">
        <w:rPr>
          <w:rFonts w:ascii="Simplified Arabic" w:hAnsi="Simplified Arabic" w:cs="AL-Hotham"/>
          <w:b/>
          <w:bCs/>
          <w:sz w:val="32"/>
          <w:szCs w:val="32"/>
          <w:rtl/>
        </w:rPr>
        <w:t>رابعًا: إجازة الوجوه النحوية المحتملة في الآيات: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 تابع أبو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الفتح مسألة تجويز الوجوه النحوية التي تحتملها الآيات القرآنية،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وكان في ذلك على بينة من أمره، فقد قال في أحد المواضع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ولو قارئ لكان جائزًا،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ولكن لا يقدم على ذلك إلا أن يرد به أثر، وإن كان في العربية سائغًا، غير أن أغلب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الوجوه التي أجازها ظلت وجوهًا؛ لأن الأثر القرآني لم يوثقها، ولن يوافقها، خلافًا لما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كان </w:t>
      </w:r>
      <w:r w:rsidRPr="004832EA">
        <w:rPr>
          <w:rFonts w:ascii="Simplified Arabic" w:hAnsi="Simplified Arabic" w:cs="AL-Hotham"/>
          <w:sz w:val="32"/>
          <w:szCs w:val="32"/>
          <w:rtl/>
        </w:rPr>
        <w:lastRenderedPageBreak/>
        <w:t>عليه النحاة السابقون الذين أجازوا بعض الوجوه، وكانت قراءات شاذة،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ولكن هذا لا يعني أن ابن جني قد أحاط بكل القراءات الشواذ، فقد وجدنا له بعض المواضع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النادرة التي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يتعاقب فيها الوجه التي صاحب فيها الوجه أثرًا،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فكان قراءة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شاذة، وهو تجويز مثلًا: رفع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رسول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بقوله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ما كان محمد أبا أحد من رجالكم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ولكن رسولُ الله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 فقد جاء الرفع قراءة شاذًا لزيد بن علي، وإبراهيم بن أبي عبلة، وقد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أثبتها القرطبي، وأبو حيان في تفسيرهما، وهذا يعني أن ابن جني لم يكن على معرفة كاملة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بكل ما روي من القراءات الشاذة، ويعني أيضًا: أن القراءات الشاذة لم تجمع كاملة حتى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عهده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line="500" w:lineRule="exact"/>
        <w:jc w:val="lowKashida"/>
        <w:rPr>
          <w:rFonts w:ascii="Simplified Arabic" w:hAnsi="Simplified Arabic" w:cs="AL-Hotham" w:hint="cs"/>
          <w:b/>
          <w:bCs/>
          <w:sz w:val="32"/>
          <w:szCs w:val="32"/>
          <w:rtl/>
        </w:rPr>
      </w:pPr>
      <w:r w:rsidRPr="004832EA">
        <w:rPr>
          <w:rFonts w:ascii="Simplified Arabic" w:hAnsi="Simplified Arabic" w:cs="AL-Hotham"/>
          <w:b/>
          <w:bCs/>
          <w:sz w:val="32"/>
          <w:szCs w:val="32"/>
          <w:rtl/>
        </w:rPr>
        <w:t>السمات الخاصة: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48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 xml:space="preserve">وأما السمات الخاصة: </w:t>
      </w:r>
      <w:r w:rsidRPr="004832EA">
        <w:rPr>
          <w:rFonts w:ascii="Simplified Arabic" w:hAnsi="Simplified Arabic" w:cs="AL-Hotham" w:hint="cs"/>
          <w:sz w:val="32"/>
          <w:szCs w:val="32"/>
          <w:rtl/>
        </w:rPr>
        <w:t>فإ</w:t>
      </w:r>
      <w:r w:rsidRPr="004832EA">
        <w:rPr>
          <w:rFonts w:ascii="Simplified Arabic" w:hAnsi="Simplified Arabic" w:cs="AL-Hotham"/>
          <w:sz w:val="32"/>
          <w:szCs w:val="32"/>
          <w:rtl/>
        </w:rPr>
        <w:t>ن أسلوب ابن جني في توجيه الشواذ يتميز بعدد من السمات الخاصة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التي لم نقف على مثلها عند النحاة قبله، وكان منها الواضح الظاهر، ومنها ما يحتاج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إلى متابعة دقيقة، على أن أغلب هذه السمات لم يكن جديدًا على ابن جني، وإنما هو جديد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على توجيه القراءات الشاذة، وتتلخص هذه السمات فيما يلي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b/>
          <w:bCs/>
          <w:sz w:val="32"/>
          <w:szCs w:val="32"/>
          <w:rtl/>
        </w:rPr>
        <w:t>أولًا: استعارة الآراء النحوية: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 إن أبرز ما نجده عند ابن جني هو اعتماده في توجيه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بعض الشواذ على مذاهب نحوية تخالف مذهبه، ولكن هذا لم يأت سهوًا، بل عن وعي تام منه،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يدل على براعة في اصطياد الوجوه، وغزارة علم، وسعة أفق، وعدم </w:t>
      </w:r>
      <w:r w:rsidRPr="004832EA">
        <w:rPr>
          <w:rFonts w:ascii="Simplified Arabic" w:hAnsi="Simplified Arabic" w:cs="AL-Hotham"/>
          <w:sz w:val="32"/>
          <w:szCs w:val="32"/>
          <w:rtl/>
        </w:rPr>
        <w:lastRenderedPageBreak/>
        <w:t>تعصب، وقد دل على ذلك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: </w:t>
      </w:r>
      <w:r w:rsidRPr="004832EA">
        <w:rPr>
          <w:rFonts w:ascii="Simplified Arabic" w:hAnsi="Simplified Arabic" w:cs="AL-Hotham"/>
          <w:sz w:val="32"/>
          <w:szCs w:val="32"/>
          <w:rtl/>
        </w:rPr>
        <w:t>تصريحه بهذه الاستعانة دائمًا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ولا شك في أن الذي دفعه إلى هذا المنهج هو عدم انقياد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بعض القراءات،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وتأبيها على مذهبه النحوي، فقد وقف حائرًا أمام قراءة الأعرج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وإذ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أخذ الله ميثاق النبيين لما آتيناكم من كتاب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فلما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هذه كما يقول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ليست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حرفًا جازمًا، ولا ظرفًا، كما أنها ليست بمعنى إلا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. </w:t>
      </w:r>
      <w:r w:rsidRPr="004832EA">
        <w:rPr>
          <w:rFonts w:ascii="Simplified Arabic" w:hAnsi="Simplified Arabic" w:cs="AL-Hotham"/>
          <w:sz w:val="32"/>
          <w:szCs w:val="32"/>
          <w:rtl/>
        </w:rPr>
        <w:t>، قرر أن أقرب ما يقال فيها هو أن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الأعرج أراد معنى قراء عامة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لمن ما آتيناكم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فزاد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من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على مذهب أبي الحسن في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الواجب فصارت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لممما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فالتقت ثلاث ميمات فثقلن؛ فحذفت الأولى منهن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كما أنه وقف أيضًا أمام قراءة طلحة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اليوم نختم على أفواههم ولتكلمنا أيديهم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ولتشهد أرجلهم بما كانوا يكسبون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 وحار في أمر هذه الواو، ثم قرر أنها زائدة على مذهب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الكوفيين، قال: ومن ذهب إلى زيادة الواو نحو قوله تعالى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حتى إذا جاءوها وفتِّحت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أبوابها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جاز أن يذهب إلى مثل ذلك في هذا الموضع، وعلى أن زيادة الواو لا يعرفها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البصريون، وإنما هو للكوفيين خاصة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. 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20" w:lineRule="exact"/>
        <w:jc w:val="both"/>
        <w:rPr>
          <w:rFonts w:ascii="Simplified Arabic" w:hAnsi="Simplified Arabic" w:cs="AL-Hotham"/>
          <w:spacing w:val="-4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وفي قراءة أبي السمال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وما يكفر بها إلا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الفاسقون</w:t>
      </w:r>
      <w:r w:rsidRPr="004832EA">
        <w:rPr>
          <w:rFonts w:ascii="Simplified Arabic" w:hAnsi="Simplified Arabic" w:cs="AL-Hotham" w:hint="cs"/>
          <w:sz w:val="32"/>
          <w:szCs w:val="32"/>
          <w:rtl/>
        </w:rPr>
        <w:t xml:space="preserve"> *</w:t>
      </w:r>
      <w:r w:rsidRPr="004832EA">
        <w:rPr>
          <w:rFonts w:ascii="Simplified Arabic" w:hAnsi="Simplified Arabic" w:cs="AL-Hotham" w:hint="cs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أو كلما عاهدوا عهد</w:t>
      </w:r>
      <w:r w:rsidRPr="004832EA">
        <w:rPr>
          <w:rFonts w:ascii="Simplified Arabic" w:hAnsi="Simplified Arabic" w:cs="AL-Hotham" w:hint="cs"/>
          <w:sz w:val="32"/>
          <w:szCs w:val="32"/>
          <w:rtl/>
        </w:rPr>
        <w:t>ً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ا نبذه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فريق منهم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 w:hint="cs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 w:hint="cs"/>
          <w:spacing w:val="-4"/>
          <w:rtl/>
          <w:lang w:bidi="ar-EG"/>
        </w:rPr>
        <w:t>[البقرة: 99، 100]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قرر مضطر</w:t>
      </w:r>
      <w:r w:rsidRPr="004832EA">
        <w:rPr>
          <w:rFonts w:ascii="Simplified Arabic" w:hAnsi="Simplified Arabic" w:cs="AL-Hotham" w:hint="cs"/>
          <w:spacing w:val="-4"/>
          <w:sz w:val="32"/>
          <w:szCs w:val="32"/>
          <w:rtl/>
        </w:rPr>
        <w:t>ًّ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ا أن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أو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فيها بمعنى بل،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 xml:space="preserve">والقراءة: </w:t>
      </w:r>
      <w:r w:rsidRPr="004832EA">
        <w:rPr>
          <w:rFonts w:ascii="Simplified Arabic" w:hAnsi="Simplified Arabic" w:cs="AL-Hotham" w:hint="cs"/>
          <w:spacing w:val="-4"/>
          <w:sz w:val="32"/>
          <w:szCs w:val="32"/>
          <w:rtl/>
        </w:rPr>
        <w:t>"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وما يكفر بها إلا الفاسقون، أو كلما عاهدوا عهد</w:t>
      </w:r>
      <w:r w:rsidRPr="004832EA">
        <w:rPr>
          <w:rFonts w:ascii="Simplified Arabic" w:hAnsi="Simplified Arabic" w:cs="AL-Hotham" w:hint="cs"/>
          <w:spacing w:val="-4"/>
          <w:sz w:val="32"/>
          <w:szCs w:val="32"/>
          <w:rtl/>
        </w:rPr>
        <w:t>ً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ا</w:t>
      </w:r>
      <w:r w:rsidRPr="004832EA">
        <w:rPr>
          <w:rFonts w:ascii="Simplified Arabic" w:hAnsi="Simplified Arabic" w:cs="AL-Hotham" w:hint="cs"/>
          <w:spacing w:val="-4"/>
          <w:sz w:val="32"/>
          <w:szCs w:val="32"/>
          <w:rtl/>
        </w:rPr>
        <w:t>"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. فقرر ابن جني مضطر</w:t>
      </w:r>
      <w:r w:rsidRPr="004832EA">
        <w:rPr>
          <w:rFonts w:ascii="Simplified Arabic" w:hAnsi="Simplified Arabic" w:cs="AL-Hotham" w:hint="cs"/>
          <w:spacing w:val="-4"/>
          <w:sz w:val="32"/>
          <w:szCs w:val="32"/>
          <w:rtl/>
        </w:rPr>
        <w:t>ًّ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ا إلى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أن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أو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فيها بمعنى بل، وأردف يقول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 xml:space="preserve">وإلى نحو هذا ذهب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lastRenderedPageBreak/>
        <w:t>الفراء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في قول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 xml:space="preserve">الله </w:t>
      </w:r>
      <w:r w:rsidRPr="004832EA">
        <w:rPr>
          <w:rFonts w:ascii="Simplified Arabic" w:hAnsi="Simplified Arabic" w:cs="Traditional Arabic"/>
          <w:spacing w:val="-4"/>
          <w:sz w:val="32"/>
          <w:szCs w:val="32"/>
          <w:rtl/>
        </w:rPr>
        <w:t>-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تعالى: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DecoType Thuluth"/>
          <w:spacing w:val="-4"/>
          <w:sz w:val="30"/>
          <w:szCs w:val="30"/>
          <w:rtl/>
          <w:lang w:bidi="ar-EG"/>
        </w:rPr>
        <w:t>{</w:t>
      </w:r>
      <w:r w:rsidRPr="004832EA">
        <w:rPr>
          <w:rFonts w:ascii="QCF_P451" w:hAnsi="QCF_P451" w:cs="QCF_P451"/>
          <w:spacing w:val="-4"/>
          <w:sz w:val="30"/>
          <w:szCs w:val="30"/>
          <w:rtl/>
        </w:rPr>
        <w:t>ﯚ ﯛ ﯜ ﯝ ﯞ ﯟ</w:t>
      </w:r>
      <w:r w:rsidRPr="004832EA">
        <w:rPr>
          <w:rFonts w:ascii="QCF_P451" w:hAnsi="QCF_P451" w:cs="DecoType Thuluth"/>
          <w:spacing w:val="-4"/>
          <w:sz w:val="30"/>
          <w:szCs w:val="30"/>
          <w:rtl/>
        </w:rPr>
        <w:t>}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4"/>
          <w:rtl/>
          <w:lang w:bidi="ar-EG"/>
        </w:rPr>
        <w:t>[</w:t>
      </w:r>
      <w:r w:rsidRPr="004832EA">
        <w:rPr>
          <w:rFonts w:ascii="Simplified Arabic" w:hAnsi="Simplified Arabic" w:cs="AL-Hotham"/>
          <w:spacing w:val="-4"/>
          <w:rtl/>
        </w:rPr>
        <w:t>الصافات</w:t>
      </w:r>
      <w:r w:rsidRPr="004832EA">
        <w:rPr>
          <w:rFonts w:ascii="Simplified Arabic" w:hAnsi="Simplified Arabic" w:cs="AL-Hotham"/>
          <w:spacing w:val="-4"/>
          <w:rtl/>
          <w:lang w:bidi="ar-EG"/>
        </w:rPr>
        <w:t>: 147]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، قال: معناه: بل يزيدون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pacing w:val="-4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وإن كان مذهبنا نحن في هذا غير ما ذهب، أو غير هذا، وقد يعمد أبو الفتح إلى هذا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المنهج، وهو في حل من الضرورة والحاجة، وذلك كأن يخرج القراءة على وجه، أو أكثر، ثم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يثني عليها بوجه آخر، لا يؤخذ به، فقد قرر أن قراءة الأعرج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ولا تهنوا في ابتغاء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القوم إن تكونوا تألمون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على أن نصب المصدر المؤول بنزع الخافض، ثم قال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وهي على مذهب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</w:rPr>
        <w:t>الخليل مجرورة الموضع باللام المرادة</w:t>
      </w:r>
      <w:r w:rsidRPr="004832EA">
        <w:rPr>
          <w:rFonts w:ascii="Simplified Arabic" w:hAnsi="Simplified Arabic" w:cs="AL-Hotham"/>
          <w:spacing w:val="-4"/>
          <w:sz w:val="32"/>
          <w:szCs w:val="32"/>
          <w:rtl/>
          <w:lang w:bidi="ar-EG"/>
        </w:rPr>
        <w:t>".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both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 w:hint="cs"/>
          <w:b/>
          <w:bCs/>
          <w:sz w:val="32"/>
          <w:szCs w:val="32"/>
          <w:rtl/>
        </w:rPr>
        <w:t xml:space="preserve">ثانيًا: </w:t>
      </w:r>
      <w:r w:rsidRPr="004832EA">
        <w:rPr>
          <w:rFonts w:ascii="Simplified Arabic" w:hAnsi="Simplified Arabic" w:cs="AL-Hotham"/>
          <w:b/>
          <w:bCs/>
          <w:sz w:val="32"/>
          <w:szCs w:val="32"/>
          <w:rtl/>
        </w:rPr>
        <w:t xml:space="preserve">الموازنة بين القراءة الشاذة، وغيرها من القراءات المتواترة: </w:t>
      </w:r>
      <w:r w:rsidRPr="004832EA">
        <w:rPr>
          <w:rFonts w:ascii="Simplified Arabic" w:hAnsi="Simplified Arabic" w:cs="AL-Hotham"/>
          <w:sz w:val="32"/>
          <w:szCs w:val="32"/>
          <w:rtl/>
        </w:rPr>
        <w:t>لم يغفل ابن جني في توجيه الشواذ أن يضع نصب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عينيه القراءات السبع التي اختارها ابن مجاهد، ويحاول دائمًا أن يجد لشواذه صلة ما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بها، ولعله بهذا الصنيع يريد أن يثبت أن هذه الشواذ لا تقل فصاحة عن القراءات السبع،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أو لعله كان يجد في ذلك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مقنعًا آخر على صحة ما يذهب إليه، فمثلًا: في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قراءة عيسى الثقفي للآية الأولى من سورة النور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: </w:t>
      </w:r>
      <w:r w:rsidRPr="004832EA">
        <w:rPr>
          <w:rFonts w:ascii="Simplified Arabic" w:hAnsi="Simplified Arabic" w:cs="DecoType Thuluth"/>
          <w:sz w:val="30"/>
          <w:szCs w:val="30"/>
          <w:rtl/>
          <w:lang w:bidi="ar-EG"/>
        </w:rPr>
        <w:t>{</w:t>
      </w:r>
      <w:r w:rsidRPr="004832EA">
        <w:rPr>
          <w:rFonts w:ascii="QCF_P350" w:hAnsi="QCF_P350" w:cs="QCF_P350"/>
          <w:sz w:val="30"/>
          <w:szCs w:val="30"/>
          <w:rtl/>
        </w:rPr>
        <w:t>ﭑ ﭒ</w:t>
      </w:r>
      <w:r w:rsidRPr="004832EA">
        <w:rPr>
          <w:rFonts w:ascii="QCF_P350" w:hAnsi="QCF_P350" w:cs="DecoType Thuluth"/>
          <w:sz w:val="30"/>
          <w:szCs w:val="30"/>
          <w:rtl/>
        </w:rPr>
        <w:t>}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rtl/>
          <w:lang w:bidi="ar-EG"/>
        </w:rPr>
        <w:t>[</w:t>
      </w:r>
      <w:r w:rsidRPr="004832EA">
        <w:rPr>
          <w:rFonts w:ascii="Simplified Arabic" w:hAnsi="Simplified Arabic" w:cs="AL-Hotham"/>
          <w:rtl/>
        </w:rPr>
        <w:t>النور</w:t>
      </w:r>
      <w:r w:rsidRPr="004832EA">
        <w:rPr>
          <w:rFonts w:ascii="Simplified Arabic" w:hAnsi="Simplified Arabic" w:cs="AL-Hotham"/>
          <w:rtl/>
          <w:lang w:bidi="ar-EG"/>
        </w:rPr>
        <w:t>: 1]</w:t>
      </w:r>
      <w:r w:rsidRPr="004832EA">
        <w:rPr>
          <w:rFonts w:ascii="Simplified Arabic" w:hAnsi="Simplified Arabic" w:cs="AL-Hotham"/>
          <w:sz w:val="32"/>
          <w:szCs w:val="32"/>
          <w:rtl/>
        </w:rPr>
        <w:t>، فتكون جملة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أنزلناها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z w:val="32"/>
          <w:szCs w:val="32"/>
          <w:rtl/>
        </w:rPr>
        <w:t>تفسيرية،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أو من غير لفظه فتكون صفة لسورة، ثم انعطف للحديث عن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قراءة الجمهور بالرفع، فهذه القراءة تقرأ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سورة أنزلناها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 ورأى أنها مرفوعة على خبر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مبتدأ محذوف، وأن الجملة بعدها صفة لا محالة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. 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20" w:lineRule="exact"/>
        <w:jc w:val="both"/>
        <w:rPr>
          <w:rFonts w:ascii="Simplified Arabic" w:hAnsi="Simplified Arabic" w:cs="AL-Hotham"/>
          <w:sz w:val="32"/>
          <w:szCs w:val="32"/>
          <w:lang w:bidi="ar-EG"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lastRenderedPageBreak/>
        <w:t>وكذا كان دأبه في معظم المواقف، كأن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يقول: وأما على القراءة العامة، وأما قراءة الجماعة، كما أنه كان دائمًا يحاول اللحاق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بمعنى القراءة السبعية المشهورة، وربط معنى الشاذة بها، يذكر من ذلك موقفه من قراءة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 xml:space="preserve">علي </w:t>
      </w:r>
      <w:r w:rsidRPr="004832EA">
        <w:rPr>
          <w:rFonts w:cs="SC_ALYERMOOK" w:hint="cs"/>
          <w:position w:val="-4"/>
          <w:sz w:val="40"/>
          <w:szCs w:val="40"/>
          <w:rtl/>
        </w:rPr>
        <w:t>&gt;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: </w:t>
      </w:r>
      <w:r w:rsidRPr="004832EA">
        <w:rPr>
          <w:rFonts w:ascii="Simplified Arabic" w:hAnsi="Simplified Arabic" w:cs="DecoType Thuluth"/>
          <w:sz w:val="30"/>
          <w:szCs w:val="30"/>
          <w:rtl/>
          <w:lang w:bidi="ar-EG"/>
        </w:rPr>
        <w:t>{</w:t>
      </w:r>
      <w:r w:rsidRPr="004832EA">
        <w:rPr>
          <w:rFonts w:ascii="QCF_P179" w:hAnsi="QCF_P179" w:cs="QCF_P179"/>
          <w:sz w:val="30"/>
          <w:szCs w:val="30"/>
          <w:rtl/>
        </w:rPr>
        <w:t>ﯱ ﯲ ﯳ ﯴ ﯵ ﯶ</w:t>
      </w:r>
      <w:r w:rsidRPr="004832EA">
        <w:rPr>
          <w:rFonts w:ascii="QCF_P179" w:hAnsi="QCF_P179" w:cs="DecoType Thuluth"/>
          <w:sz w:val="30"/>
          <w:szCs w:val="30"/>
          <w:rtl/>
        </w:rPr>
        <w:t>}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rtl/>
          <w:lang w:bidi="ar-EG"/>
        </w:rPr>
        <w:t>[</w:t>
      </w:r>
      <w:r w:rsidRPr="004832EA">
        <w:rPr>
          <w:rFonts w:ascii="Simplified Arabic" w:hAnsi="Simplified Arabic" w:cs="AL-Hotham"/>
          <w:rtl/>
        </w:rPr>
        <w:t>الأنفال: 25]</w:t>
      </w:r>
      <w:r w:rsidRPr="004832EA">
        <w:rPr>
          <w:rFonts w:ascii="Simplified Arabic" w:hAnsi="Simplified Arabic" w:cs="AL-Hotham"/>
          <w:sz w:val="32"/>
          <w:szCs w:val="32"/>
          <w:rtl/>
        </w:rPr>
        <w:t>، فقد حرص على التوفيق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بينها، وبين القراءة العامة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لا تصيبن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 وقراءة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علي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لتصيبن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 كأن المعنيين فيهما متضادان، قال: معنى هاتين القراءتين ضدان كما ترى، وإذا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أمكن أن يجمع بينهما كان ذلك دليلًا وحسنا، فهو يريد أن يثبت دائما أن القراءة الشاذة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لا تبتعد في معانيها، ونحوها عن القراءات التي اختارها ابن مجاهد، وهي القراءة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المتواترة الصحيحة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.</w:t>
      </w:r>
    </w:p>
    <w:p w:rsidR="00A11C16" w:rsidRPr="004832EA" w:rsidRDefault="00A11C16" w:rsidP="00A11C16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pacing w:val="-2"/>
          <w:sz w:val="32"/>
          <w:szCs w:val="32"/>
          <w:lang w:bidi="ar-EG"/>
        </w:rPr>
      </w:pPr>
      <w:r w:rsidRPr="004832EA">
        <w:rPr>
          <w:rFonts w:ascii="Simplified Arabic" w:hAnsi="Simplified Arabic" w:cs="AL-Hotham" w:hint="cs"/>
          <w:b/>
          <w:bCs/>
          <w:spacing w:val="-2"/>
          <w:sz w:val="32"/>
          <w:szCs w:val="32"/>
          <w:rtl/>
        </w:rPr>
        <w:t xml:space="preserve">ثالثًا: </w:t>
      </w:r>
      <w:r w:rsidRPr="004832EA">
        <w:rPr>
          <w:rFonts w:ascii="Simplified Arabic" w:hAnsi="Simplified Arabic" w:cs="AL-Hotham"/>
          <w:b/>
          <w:bCs/>
          <w:spacing w:val="-2"/>
          <w:sz w:val="32"/>
          <w:szCs w:val="32"/>
          <w:rtl/>
        </w:rPr>
        <w:t>الموازنة بين القراءة، والشواهد الشعرية: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كما كان يوازن بين القراءات الشاذة،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والمتواترة، كذلك كان يتوقف أحيانًا؛ ليجري بعض هذه الموازنات بين الشواذ، والأشعار،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ولكنه لم يورد هذا اللحاق بوجه الشعر، وإنما توضيح الفروق الدقيقة بين ما يذهب إليه،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وبين الشواهد التي يستعين بها، ونكتفي من ذلك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بذكر موقفه من قراءة عمرو بن فائد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يا نساء النبي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من تأت منكن بفاحشة مبينة يضاعف لها العذاب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،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حمل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من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" 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على معنى التأنيث، واستشهد لذلك بالقرآن،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والشعر، ثم استأنف القول: فأما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ما أنشدناه أبو علي عن الكسائي بقول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</w:rPr>
        <w:t>الشاعر</w:t>
      </w:r>
      <w:r w:rsidRPr="004832EA">
        <w:rPr>
          <w:rFonts w:ascii="Simplified Arabic" w:hAnsi="Simplified Arabic" w:cs="AL-Hotham"/>
          <w:spacing w:val="-2"/>
          <w:sz w:val="32"/>
          <w:szCs w:val="32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67"/>
        <w:gridCol w:w="579"/>
        <w:gridCol w:w="1944"/>
      </w:tblGrid>
      <w:tr w:rsidR="00A11C16" w:rsidRPr="004832EA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A11C16" w:rsidRPr="004832EA" w:rsidRDefault="00A11C16" w:rsidP="00A11C16">
            <w:pPr>
              <w:spacing w:after="120" w:line="500" w:lineRule="exact"/>
              <w:jc w:val="both"/>
              <w:rPr>
                <w:rFonts w:cs="AGA Furat Regular"/>
                <w:sz w:val="32"/>
                <w:rtl/>
              </w:rPr>
            </w:pPr>
            <w:r w:rsidRPr="004832EA">
              <w:rPr>
                <w:rFonts w:cs="AGA Furat Regular"/>
                <w:sz w:val="32"/>
                <w:rtl/>
              </w:rPr>
              <w:lastRenderedPageBreak/>
              <w:t>أخو الذؤيب يعوي والغراب ومن يكن</w:t>
            </w:r>
            <w:r w:rsidRPr="004832EA">
              <w:rPr>
                <w:rFonts w:cs="AGA Furat Regular"/>
                <w:sz w:val="32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1C16" w:rsidRPr="004832EA" w:rsidRDefault="00A11C16" w:rsidP="00A11C16">
            <w:pPr>
              <w:spacing w:after="120" w:line="500" w:lineRule="exact"/>
              <w:jc w:val="center"/>
              <w:rPr>
                <w:rFonts w:cs="AL-Hotham" w:hint="cs"/>
                <w:sz w:val="32"/>
                <w:szCs w:val="32"/>
                <w:rtl/>
              </w:rPr>
            </w:pPr>
            <w:r w:rsidRPr="004832EA">
              <w:rPr>
                <w:rFonts w:cs="AL-Hotham" w:hint="cs"/>
                <w:sz w:val="32"/>
                <w:szCs w:val="32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A11C16" w:rsidRPr="004832EA" w:rsidRDefault="00A11C16" w:rsidP="00A11C16">
            <w:pPr>
              <w:spacing w:after="120" w:line="500" w:lineRule="exact"/>
              <w:jc w:val="both"/>
              <w:rPr>
                <w:rFonts w:cs="AGA Furat Regular" w:hint="cs"/>
                <w:sz w:val="32"/>
                <w:rtl/>
              </w:rPr>
            </w:pPr>
            <w:r w:rsidRPr="004832EA">
              <w:rPr>
                <w:rFonts w:cs="AGA Furat Regular"/>
                <w:sz w:val="32"/>
                <w:rtl/>
              </w:rPr>
              <w:t>شريكيه تطمع نفسه كل مطمع</w:t>
            </w:r>
            <w:r w:rsidRPr="004832EA">
              <w:rPr>
                <w:rFonts w:cs="AGA Furat Regular"/>
                <w:sz w:val="32"/>
                <w:rtl/>
              </w:rPr>
              <w:br/>
            </w:r>
          </w:p>
        </w:tc>
      </w:tr>
    </w:tbl>
    <w:p w:rsidR="00A11C16" w:rsidRDefault="00A11C16" w:rsidP="00A11C16">
      <w:pPr>
        <w:spacing w:after="0" w:line="240" w:lineRule="auto"/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  <w:r w:rsidRPr="004832EA">
        <w:rPr>
          <w:rFonts w:ascii="Simplified Arabic" w:hAnsi="Simplified Arabic" w:cs="AL-Hotham"/>
          <w:sz w:val="32"/>
          <w:szCs w:val="32"/>
          <w:rtl/>
        </w:rPr>
        <w:t>ففيه نظر، وكان قياسه، ومن شريكيهما، أو ومن يكونا شريكيه، وأقرب ما فيه أن يكون تقديره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: "</w:t>
      </w:r>
      <w:r w:rsidRPr="004832EA">
        <w:rPr>
          <w:rFonts w:ascii="Simplified Arabic" w:hAnsi="Simplified Arabic" w:cs="AL-Hotham"/>
          <w:sz w:val="32"/>
          <w:szCs w:val="32"/>
          <w:rtl/>
        </w:rPr>
        <w:t>وأي إنسان يكونا شريكيه، إلا أنه عاد إليهما ضميرًا واحدًا، وهو الضمير في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"</w:t>
      </w:r>
      <w:r w:rsidRPr="004832EA">
        <w:rPr>
          <w:rFonts w:ascii="Simplified Arabic" w:hAnsi="Simplified Arabic" w:cs="AL-Hotham"/>
          <w:sz w:val="32"/>
          <w:szCs w:val="32"/>
          <w:rtl/>
        </w:rPr>
        <w:t>يكن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>"</w:t>
      </w:r>
      <w:r w:rsidRPr="004832EA">
        <w:rPr>
          <w:rFonts w:ascii="Simplified Arabic" w:hAnsi="Simplified Arabic" w:cs="AL-Hotham"/>
          <w:sz w:val="32"/>
          <w:szCs w:val="32"/>
          <w:rtl/>
        </w:rPr>
        <w:t>، وساغ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ذلك؛ إذ كانت الذيب، والغراب في أكثر الأحوال مصطحبين،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فجريا مجرى الشيء الواحد، فعاد</w:t>
      </w:r>
      <w:r w:rsidRPr="004832EA">
        <w:rPr>
          <w:rFonts w:ascii="Simplified Arabic" w:hAnsi="Simplified Arabic" w:cs="AL-Hotham"/>
          <w:sz w:val="32"/>
          <w:szCs w:val="32"/>
          <w:rtl/>
          <w:lang w:bidi="ar-EG"/>
        </w:rPr>
        <w:t xml:space="preserve"> </w:t>
      </w:r>
      <w:r w:rsidRPr="004832EA">
        <w:rPr>
          <w:rFonts w:ascii="Simplified Arabic" w:hAnsi="Simplified Arabic" w:cs="AL-Hotham"/>
          <w:sz w:val="32"/>
          <w:szCs w:val="32"/>
          <w:rtl/>
        </w:rPr>
        <w:t>الضمير كذلك</w:t>
      </w:r>
      <w:r w:rsidRPr="00A11C16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</w:t>
      </w:r>
    </w:p>
    <w:p w:rsidR="00A11C16" w:rsidRDefault="00A11C16" w:rsidP="00A11C16">
      <w:pPr>
        <w:spacing w:after="0" w:line="240" w:lineRule="auto"/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</w:rPr>
        <w:lastRenderedPageBreak/>
        <w:t>)</w:t>
      </w: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A11C16" w:rsidRPr="00F7753E" w:rsidRDefault="00A11C16" w:rsidP="00A11C16">
      <w:pPr>
        <w:spacing w:after="0" w:line="240" w:lineRule="auto"/>
        <w:ind w:left="1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A11C16" w:rsidRPr="00F7753E" w:rsidRDefault="00A11C16" w:rsidP="00A11C16">
      <w:pPr>
        <w:numPr>
          <w:ilvl w:val="0"/>
          <w:numId w:val="1"/>
        </w:numPr>
        <w:spacing w:after="0" w:line="240" w:lineRule="auto"/>
        <w:ind w:left="163" w:firstLine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A11C16" w:rsidRPr="00F7753E" w:rsidRDefault="00A11C16" w:rsidP="00A11C16">
      <w:pPr>
        <w:pStyle w:val="NormalWeb"/>
        <w:bidi/>
        <w:spacing w:before="0" w:beforeAutospacing="0" w:after="0" w:afterAutospacing="0"/>
        <w:ind w:left="163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F7753E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A11C16" w:rsidRDefault="00A11C16" w:rsidP="00A11C16">
      <w:pPr>
        <w:spacing w:after="0"/>
        <w:rPr>
          <w:rtl/>
          <w:lang w:bidi="ar-EG"/>
        </w:rPr>
        <w:sectPr w:rsidR="00A11C16" w:rsidSect="00A11C16">
          <w:type w:val="continuous"/>
          <w:pgSz w:w="11906" w:h="16838"/>
          <w:pgMar w:top="1440" w:right="849" w:bottom="1440" w:left="1800" w:header="708" w:footer="708" w:gutter="0"/>
          <w:cols w:num="2" w:space="708"/>
          <w:bidi/>
          <w:rtlGutter/>
          <w:docGrid w:linePitch="360"/>
        </w:sectPr>
      </w:pPr>
    </w:p>
    <w:p w:rsidR="00A11C16" w:rsidRDefault="00A11C16" w:rsidP="00A11C16">
      <w:pPr>
        <w:spacing w:after="0"/>
        <w:rPr>
          <w:rFonts w:hint="cs"/>
          <w:lang w:bidi="ar-EG"/>
        </w:rPr>
      </w:pPr>
    </w:p>
    <w:p w:rsidR="00A11C16" w:rsidRDefault="00A11C16" w:rsidP="00A11C16">
      <w:pPr>
        <w:spacing w:after="0"/>
        <w:rPr>
          <w:lang w:bidi="ar-EG"/>
        </w:rPr>
      </w:pPr>
    </w:p>
    <w:p w:rsidR="00A11C16" w:rsidRDefault="00A11C16" w:rsidP="00A11C16">
      <w:pPr>
        <w:spacing w:after="0" w:line="240" w:lineRule="auto"/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A11C16" w:rsidRDefault="00A11C16" w:rsidP="00A11C16">
      <w:pPr>
        <w:spacing w:after="0"/>
        <w:rPr>
          <w:lang w:bidi="ar-EG"/>
        </w:rPr>
      </w:pPr>
    </w:p>
    <w:p w:rsidR="00A11C16" w:rsidRPr="00A11C16" w:rsidRDefault="00A11C16" w:rsidP="00A11C16">
      <w:pPr>
        <w:spacing w:before="60" w:after="0" w:line="240" w:lineRule="auto"/>
        <w:jc w:val="center"/>
        <w:rPr>
          <w:rFonts w:asciiTheme="majorBidi" w:eastAsia="Calibri" w:hAnsiTheme="majorBidi" w:cstheme="majorBidi"/>
          <w:b/>
          <w:bCs/>
          <w:sz w:val="48"/>
          <w:szCs w:val="48"/>
          <w:lang w:bidi="ar-EG"/>
        </w:rPr>
      </w:pPr>
    </w:p>
    <w:sectPr w:rsidR="00A11C16" w:rsidRPr="00A11C16" w:rsidSect="00A11C16">
      <w:type w:val="continuous"/>
      <w:pgSz w:w="11906" w:h="16838"/>
      <w:pgMar w:top="1440" w:right="849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57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45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1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11C16"/>
    <w:rsid w:val="001A2769"/>
    <w:rsid w:val="004168A0"/>
    <w:rsid w:val="004219C3"/>
    <w:rsid w:val="004A286F"/>
    <w:rsid w:val="00A1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11C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11C1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C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1802</Words>
  <Characters>10272</Characters>
  <Application>Microsoft Office Word</Application>
  <DocSecurity>0</DocSecurity>
  <Lines>85</Lines>
  <Paragraphs>24</Paragraphs>
  <ScaleCrop>false</ScaleCrop>
  <Company>Fannan</Company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2013-06-16T15:28:00Z</dcterms:created>
  <dcterms:modified xsi:type="dcterms:W3CDTF">2013-06-16T15:33:00Z</dcterms:modified>
</cp:coreProperties>
</file>