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23" w:rsidRDefault="00D67323" w:rsidP="00D67323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D67323"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  <w:t>أثر المنطق في أسلوب ابن جني في كتابه (المتصل)</w:t>
      </w:r>
    </w:p>
    <w:p w:rsidR="00D67323" w:rsidRPr="00F7753E" w:rsidRDefault="00D67323" w:rsidP="00D67323">
      <w:pPr>
        <w:jc w:val="center"/>
        <w:rPr>
          <w:rFonts w:asciiTheme="majorBidi" w:eastAsia="Calibri" w:hAnsiTheme="majorBidi" w:cstheme="majorBidi"/>
          <w:sz w:val="18"/>
          <w:szCs w:val="18"/>
          <w:rtl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</w:rPr>
        <w:t>القراءات الشاذه</w:t>
      </w:r>
    </w:p>
    <w:p w:rsidR="00D67323" w:rsidRPr="00426F7E" w:rsidRDefault="00D67323" w:rsidP="00D67323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D67323" w:rsidRPr="00426F7E" w:rsidRDefault="00D67323" w:rsidP="00D67323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D67323" w:rsidRPr="00426F7E" w:rsidRDefault="00D67323" w:rsidP="00D67323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D67323" w:rsidRPr="00426F7E" w:rsidRDefault="00D67323" w:rsidP="00D67323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D67323" w:rsidRDefault="00D67323" w:rsidP="00D67323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Ahmedmsamir54@gmail.com</w:t>
        </w:r>
      </w:hyperlink>
    </w:p>
    <w:p w:rsidR="00D67323" w:rsidRPr="00426F7E" w:rsidRDefault="00D67323" w:rsidP="00D67323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D67323" w:rsidRDefault="00D67323" w:rsidP="00D67323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D67323" w:rsidSect="00D67323">
          <w:pgSz w:w="11906" w:h="16838"/>
          <w:pgMar w:top="1440" w:right="1133" w:bottom="851" w:left="1800" w:header="708" w:footer="708" w:gutter="0"/>
          <w:cols w:space="708"/>
          <w:bidi/>
          <w:rtlGutter/>
          <w:docGrid w:linePitch="360"/>
        </w:sectPr>
      </w:pPr>
    </w:p>
    <w:p w:rsidR="00D67323" w:rsidRPr="00D67323" w:rsidRDefault="00D67323" w:rsidP="00D67323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D67323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أثر المنطق في أسلوب ابن جني في كتابه (المتصل)</w:t>
      </w:r>
    </w:p>
    <w:p w:rsidR="00D67323" w:rsidRPr="00D67323" w:rsidRDefault="00D67323" w:rsidP="00D67323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D67323" w:rsidRPr="00D67323" w:rsidRDefault="00D67323" w:rsidP="00D67323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D67323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D67323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المتصل، الاساسيه، البارزه</w:t>
      </w:r>
    </w:p>
    <w:p w:rsidR="00D67323" w:rsidRPr="00D67323" w:rsidRDefault="00D67323" w:rsidP="00D67323">
      <w:pPr>
        <w:numPr>
          <w:ilvl w:val="0"/>
          <w:numId w:val="2"/>
        </w:numPr>
        <w:spacing w:after="200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D67323" w:rsidRPr="00D67323" w:rsidRDefault="00D67323" w:rsidP="00D67323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D67323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أثر المنطق في أسلوب ابن جني في كتابه (المتصل)</w:t>
      </w:r>
    </w:p>
    <w:p w:rsidR="00D67323" w:rsidRPr="00D67323" w:rsidRDefault="00D67323" w:rsidP="00D67323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D67323" w:rsidRPr="00D67323" w:rsidRDefault="00D67323" w:rsidP="00D67323">
      <w:pPr>
        <w:numPr>
          <w:ilvl w:val="0"/>
          <w:numId w:val="3"/>
        </w:numPr>
        <w:spacing w:after="200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D67323" w:rsidRPr="00D67323" w:rsidRDefault="00D67323" w:rsidP="00D67323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</w:rPr>
      </w:pPr>
      <w:r w:rsidRPr="00D67323">
        <w:rPr>
          <w:rFonts w:ascii="Simplified Arabic" w:hAnsi="Simplified Arabic" w:cs="AL-Hotham" w:hint="cs"/>
          <w:b/>
          <w:bCs/>
          <w:sz w:val="18"/>
          <w:szCs w:val="18"/>
          <w:rtl/>
        </w:rPr>
        <w:t xml:space="preserve">رابعًا: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من السمات الأساسية البارزة في أسلوبه: تأثره بعلم المنطق، وهي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سمة ليست جديدة عليه،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بل معروفة في كتبه الأخرى، فهي تمثل ركنًا جوهري</w:t>
      </w:r>
      <w:r w:rsidRPr="00D67323">
        <w:rPr>
          <w:rFonts w:ascii="Simplified Arabic" w:hAnsi="Simplified Arabic" w:cs="AL-Hotham" w:hint="cs"/>
          <w:b/>
          <w:bCs/>
          <w:sz w:val="18"/>
          <w:szCs w:val="18"/>
          <w:rtl/>
        </w:rPr>
        <w:t>ًّ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ا من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أركان ثقافته، وطريقة معالجته للقضايا اللغوية عمومًا، ولقد ساد هذا المنطق أسلوبه في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توجيه الشواذ، واتخذ مظاهر متعددة، واستطاع أن يبني بها هيكلًا متراصًّا للقراءة، ينتظم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الأحكام، والأقيسة، والمحاكمات، والتعليلات، ونستطيع أن نذكر من ذلك ما يلي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p w:rsidR="00D67323" w:rsidRPr="00D67323" w:rsidRDefault="00D67323" w:rsidP="00D67323">
      <w:pPr>
        <w:pStyle w:val="NormalWeb"/>
        <w:bidi/>
        <w:spacing w:before="0" w:before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lang w:bidi="ar-EG"/>
        </w:rPr>
      </w:pP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أولًا: أسلوب أهل المنطق في الاحتجاج:</w:t>
      </w:r>
    </w:p>
    <w:p w:rsidR="00D67323" w:rsidRPr="00D67323" w:rsidRDefault="00D67323" w:rsidP="00D67323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pacing w:val="-4"/>
          <w:sz w:val="18"/>
          <w:szCs w:val="18"/>
          <w:lang w:bidi="ar-EG"/>
        </w:rPr>
      </w:pP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عمد ابن جني إلى استخدام أسلوب أهل المنطق في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تخريج القراءة، والاحتجاج لها، ولكنه لم يلجأ فيه إلى الإخراج، والتعقيب، بل جعله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سمحًا بعيد</w:t>
      </w:r>
      <w:r w:rsidRPr="00D67323">
        <w:rPr>
          <w:rFonts w:ascii="Simplified Arabic" w:hAnsi="Simplified Arabic" w:cs="AL-Hotham" w:hint="cs"/>
          <w:b/>
          <w:bCs/>
          <w:spacing w:val="-4"/>
          <w:sz w:val="18"/>
          <w:szCs w:val="18"/>
          <w:rtl/>
        </w:rPr>
        <w:t>ً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 عن المصطلحات المتزهمة، أو الغامضة. صحيح أنه كان يورد مصطلحاته كالسبب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والمسبب، والعرض والجوهر، وعلاقة البعض بالزمان والمكان، والجوهر وبالحدث، إلا أنه لم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يكثر من ذلك؛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لكي ما يجفو كتابه على أهل العربية، كما جفا أستاذه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الفارسي</w:t>
      </w:r>
      <w:r w:rsidRPr="00D67323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. </w:t>
      </w:r>
    </w:p>
    <w:p w:rsidR="00D67323" w:rsidRPr="00D67323" w:rsidRDefault="00D67323" w:rsidP="00D67323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ففي قراءة الحسن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فأجمعوا أمركم وشركاؤكم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أجاز عطف الشركاء على الضمير في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قوله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أجمعوا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بطول الكلام، ثم عقب على ذلك فقال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وإذا جاز قول الله </w:t>
      </w:r>
      <w:r w:rsidRPr="00D67323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تعالى: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D67323">
        <w:rPr>
          <w:rFonts w:ascii="QCF_P148" w:hAnsi="QCF_P148" w:cs="QCF_P148"/>
          <w:b/>
          <w:bCs/>
          <w:sz w:val="18"/>
          <w:szCs w:val="18"/>
          <w:rtl/>
        </w:rPr>
        <w:t>ﭥ ﭦ ﭧ ﭨ</w:t>
      </w:r>
      <w:r w:rsidRPr="00D67323">
        <w:rPr>
          <w:rFonts w:ascii="QCF_P148" w:hAnsi="QCF_P148" w:cs="DecoType Thuluth"/>
          <w:b/>
          <w:bCs/>
          <w:sz w:val="18"/>
          <w:szCs w:val="18"/>
          <w:rtl/>
        </w:rPr>
        <w:t>}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الأنعام: 148]، وأن نكتفي بطول الكلام بلا، وإن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كانت بعد حرف العطف كان الاكتفاء من التوكيد بما هو أطول من لا، وهو أيضًا قبل الواو،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كما أن التوكيد لو ظهر لكان قبلها أحرى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D67323" w:rsidRPr="00D67323" w:rsidRDefault="00D67323" w:rsidP="00D67323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وذهب في قراءة الحسن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يوحي بعضهم إلى بعض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زخرف القول غرورًا ولتصغى إليه أفئدة وليرضوه وليقترفوا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ذهب إلى أن هذه اللام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للتعليل، وأنها معطوفة على الغرور، وأن تسكينها في هذا الموضع شاذ في الاستعمال على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قوته في القياس، ثم راح يبين الفرق بين عدم تسكينها في الأصل، وبين تسكين اللام </w:t>
      </w:r>
      <w:r w:rsidRPr="00D67323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أي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لام الأمر</w:t>
      </w:r>
      <w:r w:rsidRPr="00D67323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فقال: فكأنهم إنما اختاروا السكون للام الأمر، والتحريك للام كي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من حيث كانت لام كي نائبة في أكثر الأمر عن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أن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، وهي أيضًا في جواب كان سيفعل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إذا قلت: ما كان ليفعل محذوفة مع اللام ألبتة، فلما نابت عنها قووها بإقرار حركتها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فيها؛ لأن الحرف المتحرك أقوى من الساكن، والأقوى أشبه بأن ينوب عن غيره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من الأضعف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D67323" w:rsidRPr="00D67323" w:rsidRDefault="00D67323" w:rsidP="00D67323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بذا نرى أن حديث ابن جني ذو مسحة منطقية، ولكنه المنطق الذي لا يجفو على القارئ، وإن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كان يجافي روح اللغة، ويتجاوز حاجاتها، إلا أننا لم نعدم له بعض الأقوال التي جفت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على القارئ واللغة معًا، فبدأ حديثه منطقي</w:t>
      </w:r>
      <w:r w:rsidRPr="00D67323">
        <w:rPr>
          <w:rFonts w:ascii="Simplified Arabic" w:hAnsi="Simplified Arabic" w:cs="AL-Hotham" w:hint="cs"/>
          <w:b/>
          <w:bCs/>
          <w:sz w:val="18"/>
          <w:szCs w:val="18"/>
          <w:rtl/>
        </w:rPr>
        <w:t>ًّ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ا صرفًا، من ذلك: تعقيبه على قراءة الحسن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يا أيها الذين آمنوا فصلوا عليه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التي جاز فيها دخول الفاء بما ضمنه المعنى من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الشرط؛ ولأنها مثل قولهم: قد أعطيتك فخذ، قال: فجرى ذلك مجرى قولهم: قد أعطيتك فخذ، أي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إنما وجب عليك الأخذ من أجل العطية، وإذا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قال: قد أعطيتك خذ، فالوقف على أعطيتك، ثم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استأنف الأمر له بالأخذ، وهو أعلى معنى، وأقوم قيلا، وذلك أنه إذا علل الأخذ فجعله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واجبًا عن العطية، فجائز أن يعارضه المأمور بالأخذ، بأن يقول: قد ثبت أن الأخذ لا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يجب بعطيتك،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فإن كان أخذي لغير ذلك فعلت، وهو؛ إذ ارتجل قوله: خذ لم يسرع المعارضة له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في أمره إياه،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الاستفهام نص موجب الأخذ، كما قد تقع المعارضة إذا ذكر العلة في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ذلك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D67323" w:rsidRPr="00D67323" w:rsidRDefault="00D67323" w:rsidP="00D67323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فإن قلت: فقد يجوز أن يعارض أمره بالأخذ مرسلًا، كما قد يعارضه معلل</w:t>
      </w:r>
      <w:r w:rsidRPr="00D67323">
        <w:rPr>
          <w:rFonts w:ascii="Simplified Arabic" w:hAnsi="Simplified Arabic" w:cs="AL-Hotham" w:hint="cs"/>
          <w:b/>
          <w:bCs/>
          <w:sz w:val="18"/>
          <w:szCs w:val="18"/>
          <w:rtl/>
        </w:rPr>
        <w:t>ً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ا، ألا تراه قد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يقول له: اذكر لي علة الأخذ؛ لأرى فيه رأيي، فيتوقف عن الأخذ إلى أن يعرف علة الأمر له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بذلك، قيل: على كل حال الأمر، المحتوم به على حالاته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أثبت في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النفس من المعلل بما يجوز أن يعارض، وإذا راجعت نظرك، وأعملت فكرتك وجدت الحال فيه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على ما ذكرت لك، وكذا كان دأب ابن جني في معالجته للقضايا، وتوجيه الشواذ، فأحيانًا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يصل إلى ما يريد من غير إغراب، ومماحلة، وأحيانًا أخرى يحلق في تفسيرات بعيدة عن روح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</w:rPr>
        <w:t>العربية</w:t>
      </w:r>
      <w:r w:rsidRPr="00D67323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D67323" w:rsidRPr="00D67323" w:rsidRDefault="00D67323" w:rsidP="00D67323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D67323" w:rsidRPr="00D67323" w:rsidRDefault="00D67323" w:rsidP="00D67323">
      <w:pPr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D67323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D67323" w:rsidRPr="00D67323" w:rsidRDefault="00D67323" w:rsidP="00D67323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D67323" w:rsidRPr="00D67323" w:rsidRDefault="00D67323" w:rsidP="00D67323">
      <w:pPr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D67323" w:rsidRPr="00D67323" w:rsidRDefault="00D67323" w:rsidP="00D67323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D67323" w:rsidRPr="00D67323" w:rsidRDefault="00D67323" w:rsidP="00D67323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D67323" w:rsidRPr="00D67323" w:rsidRDefault="00D67323" w:rsidP="00D67323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D67323" w:rsidRPr="00D67323" w:rsidRDefault="00D67323" w:rsidP="00D67323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D67323" w:rsidRPr="00D67323" w:rsidRDefault="00D67323" w:rsidP="00D67323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D67323" w:rsidRPr="00D67323" w:rsidRDefault="00D67323" w:rsidP="00D67323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D67323" w:rsidRPr="00D67323" w:rsidRDefault="00D67323" w:rsidP="00D67323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D67323" w:rsidRPr="00D67323" w:rsidRDefault="00D67323" w:rsidP="00D67323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D67323" w:rsidRPr="00D67323" w:rsidRDefault="00D67323" w:rsidP="00D67323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D67323" w:rsidRPr="00D67323" w:rsidRDefault="00D67323" w:rsidP="00D67323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D67323" w:rsidRPr="00D67323" w:rsidRDefault="00D67323" w:rsidP="00D67323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D67323" w:rsidRPr="00D67323" w:rsidRDefault="00D67323" w:rsidP="00D67323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D67323" w:rsidRPr="00D67323" w:rsidRDefault="00D67323" w:rsidP="00D67323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D67323" w:rsidRPr="00D67323" w:rsidRDefault="00D67323" w:rsidP="00D67323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D67323" w:rsidRPr="00D67323" w:rsidRDefault="00D67323" w:rsidP="00D67323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D67323" w:rsidRPr="00D67323" w:rsidRDefault="00D67323" w:rsidP="00D67323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D67323" w:rsidRPr="00D67323" w:rsidRDefault="00D67323" w:rsidP="00D67323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D67323" w:rsidRPr="00D67323" w:rsidRDefault="00D67323" w:rsidP="00D67323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D67323" w:rsidRPr="00D67323" w:rsidRDefault="00D67323" w:rsidP="00D67323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D67323" w:rsidRPr="00D67323" w:rsidRDefault="00D67323" w:rsidP="00D67323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D67323" w:rsidRPr="00D67323" w:rsidRDefault="00D67323" w:rsidP="00D67323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D67323" w:rsidRPr="00D67323" w:rsidRDefault="00D67323" w:rsidP="00D67323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D67323" w:rsidRPr="00D67323" w:rsidRDefault="00D67323" w:rsidP="00D67323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D67323" w:rsidRPr="00D67323" w:rsidRDefault="00D67323" w:rsidP="00D67323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D67323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D67323" w:rsidRPr="00D67323" w:rsidRDefault="00D67323" w:rsidP="00D67323">
      <w:pPr>
        <w:rPr>
          <w:rFonts w:hint="cs"/>
          <w:b/>
          <w:bCs/>
          <w:sz w:val="18"/>
          <w:szCs w:val="18"/>
        </w:rPr>
      </w:pPr>
    </w:p>
    <w:p w:rsidR="00D67323" w:rsidRPr="00D67323" w:rsidRDefault="00D67323" w:rsidP="00D67323">
      <w:pPr>
        <w:rPr>
          <w:b/>
          <w:bCs/>
          <w:sz w:val="18"/>
          <w:szCs w:val="18"/>
        </w:rPr>
      </w:pPr>
    </w:p>
    <w:p w:rsidR="00D67323" w:rsidRPr="00D67323" w:rsidRDefault="00D67323" w:rsidP="00D67323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D67323" w:rsidRDefault="00D67323" w:rsidP="00D67323">
      <w:pPr>
        <w:rPr>
          <w:rtl/>
        </w:rPr>
        <w:sectPr w:rsidR="00D67323" w:rsidSect="00D67323">
          <w:type w:val="continuous"/>
          <w:pgSz w:w="11906" w:h="16838"/>
          <w:pgMar w:top="1440" w:right="1133" w:bottom="851" w:left="1800" w:header="708" w:footer="708" w:gutter="0"/>
          <w:cols w:num="2" w:space="708"/>
          <w:bidi/>
          <w:rtlGutter/>
          <w:docGrid w:linePitch="360"/>
        </w:sectPr>
      </w:pPr>
    </w:p>
    <w:p w:rsidR="00D67323" w:rsidRDefault="00D67323" w:rsidP="00D67323"/>
    <w:p w:rsidR="004219C3" w:rsidRPr="00D67323" w:rsidRDefault="004219C3" w:rsidP="00D67323">
      <w:pPr>
        <w:spacing w:before="60"/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</w:p>
    <w:sectPr w:rsidR="004219C3" w:rsidRPr="00D67323" w:rsidSect="00D67323">
      <w:type w:val="continuous"/>
      <w:pgSz w:w="11906" w:h="16838"/>
      <w:pgMar w:top="1440" w:right="1133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14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67323"/>
    <w:rsid w:val="001A2769"/>
    <w:rsid w:val="004168A0"/>
    <w:rsid w:val="004219C3"/>
    <w:rsid w:val="004A286F"/>
    <w:rsid w:val="00D6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732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67323"/>
    <w:pPr>
      <w:bidi w:val="0"/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D673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4124</Characters>
  <Application>Microsoft Office Word</Application>
  <DocSecurity>0</DocSecurity>
  <Lines>34</Lines>
  <Paragraphs>9</Paragraphs>
  <ScaleCrop>false</ScaleCrop>
  <Company>Fannan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2013-06-16T15:28:00Z</dcterms:created>
  <dcterms:modified xsi:type="dcterms:W3CDTF">2013-06-16T15:32:00Z</dcterms:modified>
</cp:coreProperties>
</file>