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52" w:rsidRDefault="00486B52" w:rsidP="00486B52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486B52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نظرة الإمام ابن جني إلى القراءات الشاذة في كتابه (المحتسب)</w:t>
      </w:r>
    </w:p>
    <w:p w:rsidR="00486B52" w:rsidRPr="00F7753E" w:rsidRDefault="00486B52" w:rsidP="00486B52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486B52" w:rsidRPr="00F7753E" w:rsidRDefault="00486B52" w:rsidP="00486B52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486B52" w:rsidRPr="00F7753E" w:rsidRDefault="00486B52" w:rsidP="00486B52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486B52" w:rsidRPr="00426F7E" w:rsidRDefault="00486B52" w:rsidP="00486B5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486B52" w:rsidRPr="00426F7E" w:rsidRDefault="00486B52" w:rsidP="00486B5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486B52" w:rsidRPr="00426F7E" w:rsidRDefault="00486B52" w:rsidP="00486B5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486B52" w:rsidRPr="00426F7E" w:rsidRDefault="00486B52" w:rsidP="00486B52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486B52" w:rsidRDefault="00486B52" w:rsidP="00486B52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486B52" w:rsidRPr="00426F7E" w:rsidRDefault="00486B52" w:rsidP="00486B52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486B52" w:rsidRDefault="00486B52" w:rsidP="00486B52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486B52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86B52" w:rsidRPr="00486B52" w:rsidRDefault="00486B52" w:rsidP="00486B5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486B5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نظرة الإمام ابن جني إلى القراءات الشاذة في كتابه (المحتسب)</w:t>
      </w:r>
    </w:p>
    <w:p w:rsidR="00486B52" w:rsidRPr="00486B52" w:rsidRDefault="00486B52" w:rsidP="00486B52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486B52" w:rsidRPr="00486B52" w:rsidRDefault="00486B52" w:rsidP="00486B52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486B5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الكلمات المفتاحية –</w:t>
      </w:r>
      <w:r w:rsidRPr="00486B5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المحتسب، القراءات ، جنى</w:t>
      </w:r>
    </w:p>
    <w:p w:rsidR="00486B52" w:rsidRPr="00486B52" w:rsidRDefault="00486B52" w:rsidP="00486B52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486B52" w:rsidRPr="00486B52" w:rsidRDefault="00486B52" w:rsidP="00486B5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486B5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أ</w:t>
      </w:r>
      <w:r w:rsidRPr="00486B5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 xml:space="preserve"> </w:t>
      </w:r>
      <w:r w:rsidRPr="00486B5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نظرة الإمام ابن جني إلى القراءات الشاذة في كتابه (المحتسب)</w:t>
      </w:r>
    </w:p>
    <w:p w:rsidR="00486B52" w:rsidRPr="00486B52" w:rsidRDefault="00486B52" w:rsidP="00486B52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86B52" w:rsidRPr="00486B52" w:rsidRDefault="00486B52" w:rsidP="00486B52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486B52" w:rsidRPr="00486B52" w:rsidRDefault="00486B52" w:rsidP="00486B5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</w:p>
    <w:p w:rsidR="00486B52" w:rsidRPr="00486B52" w:rsidRDefault="00486B52" w:rsidP="00486B52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لم يحفل ابن جني في كتابه (المحتسب) بكل ما روي من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الشاذة،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وإنما انتخب لنفسه عددًا مما غمض وجه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نحوه، أو معناه، وظنه الناس وبعض العلماء مجافيًا لروح العربية، أو مخالفًا لروح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العربية، ثم أدار عليه الشرح، والدراسة قال </w:t>
      </w:r>
      <w:r w:rsidRPr="00486B52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-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أي: قال الإمام ابن جني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اعلم أن جميع ما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شذ عن قراءة القراء السبعة ضربان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ضرب شذ عن القراءة عاريًا من الصنعة، ليس فيه إلا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ما يتناوله الظاهر مما هذه سبيله، فلا وجه للتشاغل به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وضرب ثان: وهو هذا الذي نحن على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سمته أعني: ما شذ عن السبعة، وغمض عن ظاهر الصنعة، وهو المعتمد المعول عليه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مما سبق يتضح لنا: أن ابن جني نصب نفسه مدافعًا عن وجوه الشواذ، وحدد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التي يمكن أن تكون ميدانًا للبحث، وهذا يعني: أنه منتصر لكل ما أورده من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وجوه، لماذا؟ لأنه هو الذي حدد مادة الدراسة، فهل فعل ذلك حقًّا؟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لقد حاول ابن جني بكل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ما أوتي من مقدرة علمية، وثقافية، وبكل ما اتسم به من حنكة لغوية أن ينتصر للشواذ،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واستطاع </w:t>
      </w:r>
      <w:r w:rsidRPr="00486B5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إلى حد ما كما رأينا</w:t>
      </w:r>
      <w:r w:rsidRPr="00486B5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أن يعثر لها على الوجوه النحوية المناسبة من القراءات،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وكلام العرب إلا أن موقفه منها لم يكن متماسكًا، أو موحدًا، بل كان مختلفًا ومتنوعًا،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فمرة نجده يستحسنها، ويتحمس لها، ومرة يستدل بها على مذهب نحوي، ومرة ينصر بها القراءة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المشهورة، ومرة تفتر حماسته؛ فيفضل القراءة المشهورة عليها، أو يصفها بالضعف، أو اللحن،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أو الشذوذ،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ومرة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يستهجنها، ويحملها على ضرائر الشعر أي: على ضرورة شعرية، ولكن المناخ العام لديه هو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قبولها، والأخذ بها، وقد رأينا أن نقسم هذه المواقف قسمين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القسم الأول: المواقف التي توافق خطة كتاب (المحتسب)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والقسم الثاني: المواقف التي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تخالف خطة كتاب (المحتسب)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أولًا: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المواقف التي توافق خطة الكتاب</w:t>
      </w:r>
      <w:r w:rsidRPr="00486B52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نلخصها فيما يلي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أ</w:t>
      </w:r>
      <w:r w:rsidRPr="00486B52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.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تفضيل بعض القراءات الشاذة على القراءة المتواترة: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وقف ابن جني من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بعض القراءات الشواذ موقفًا قويًا، فضلها فيه على القراءات المتواترة، وربما يعود هذا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الموقف إلى رغبته الجامحة في الدفاع عنها، تلك الرغبة التي صدَّر بها كتابه، من ذلك: أنه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يرى أن رفع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كل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في قراءة أبي السمال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إن كلُ شيء خلقناه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أقوى من قراءة النصب قال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الرفع هنا أقوى من النصب، وإن كانت الجماعة على النصب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إن كل شيء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؛ وذلك أنه من مواضع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الابتداء؛ وذلك لأنها جملة وقعت في الأصل خبرًا عن المبتدأ في قولك: نحن كل شيء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خلقناه بقدر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ويرى أيضًا أن قراءة السدي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إن في ذلك لذكرى لمن كان له قلب أو ألقى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السمعُ وهو شهيد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، أو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ألقي السمعُ وهو شهيد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، والقراءة المتواترة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486B5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486B52">
        <w:rPr>
          <w:rFonts w:ascii="QCF_P520" w:hAnsi="QCF_P520" w:cs="QCF_P520"/>
          <w:b/>
          <w:bCs/>
          <w:sz w:val="18"/>
          <w:szCs w:val="18"/>
          <w:rtl/>
        </w:rPr>
        <w:t>ﭡ ﭢ ﭣ ﭤ ﭥ ﭦ ﭧ ﭨ ﭩ ﭪ ﭫ ﭬ ﭭ</w:t>
      </w:r>
      <w:r w:rsidRPr="00486B5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}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ق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37]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، قرأها السدي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أو أُلقي السمع وهو شهيد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ببناء ألقي للمجهول أبدى معنى إلى النفس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من القراءة العامة هكذا يرى الإمام ابن جني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</w:t>
      </w:r>
      <w:r w:rsidRPr="00486B5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ألقي السمع</w:t>
      </w:r>
      <w:r w:rsidRPr="00486B5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أبدت عنده معنى أكثر من القراءة المتواترة، وأن قراءة علي </w:t>
      </w:r>
      <w:r w:rsidRPr="00486B52">
        <w:rPr>
          <w:rFonts w:cs="SC_ALYERMOOK" w:hint="cs"/>
          <w:b/>
          <w:bCs/>
          <w:spacing w:val="-4"/>
          <w:position w:val="-4"/>
          <w:sz w:val="18"/>
          <w:szCs w:val="18"/>
          <w:rtl/>
        </w:rPr>
        <w:t>&gt;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أفحسب الذين كفروا أن يتخذوا عبادي من دوني أولياء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أذهب في الذم من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القراءة المشهورة، وستقرأ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أفحسَب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على قراءة سيدنا علي </w:t>
      </w:r>
      <w:r w:rsidRPr="00486B5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وهو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كثيرًا ما يخلع على بعض الشواذ صفات الحسن؛ فيستحسن الوجه النحوي، أو المعنى الذي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يريده، من ذلك: استحسان وجه رفع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الأرحام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من قراءة السلمي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واتقوا الله الذي تساءلون به والأرحامُ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بالرفع عنده أوكد في معناه، والنصب لا يتطاول إليه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ومن ذلك أيضًا: وصفه قراءة ابن عباس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يرونهم مثليهم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بأنها قراءة حسنة المعنى؛ لأن أرى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تفيد الظن المطلوب هنا لا اليقين، ووصفه كذلك قراءة جعفر بن محمد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وأرسلناه إلى مائة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ألف ويزيدون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؛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لأن فيها إعرابًا حسنًا، وصنعة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صالحة؛ فابن جني يفسح لبعض الشواذ صدرًا رحيبًا، ويتسامى بوجوهها فيفضلها على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المتواترة، وكأني به يريد أن ينتقص من تطبيق ابن مجاهد لشرط العربية، وأن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يبين له أن هناك قراءات أقوى عربية من وجهه الذي اختارها، ولكن مبدأ الاستحسان هذا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نسبي، ولا سيما أن ابن جني بصري الهوية، وأن ابن مجاهد كوفي، وهذا يعد من المآخذ على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ابن جني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</w:t>
      </w:r>
      <w:r w:rsidRPr="00486B52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.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القراءة الشاذة دليل على القراءة المشهورة: جعل أبو الفتح بعض الشواذ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أدلة على وجوه كثيرة من القراءات المتواترة، وذلك في أثناء تخريجه العام الذي تميز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بربط وجه الشاذة بالمتواترة ربطًا دقيقًا، فهو يرى أن في قراءة ابن عباس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إنما ذلكم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الشيطان يخوفكم أولياؤه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دلالة على إرادة المفعول الذي حذف في القراءة المشهورة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486B52">
        <w:rPr>
          <w:rFonts w:ascii="QCF_P073" w:hAnsi="QCF_P073" w:cs="QCF_P073"/>
          <w:b/>
          <w:bCs/>
          <w:sz w:val="18"/>
          <w:szCs w:val="18"/>
          <w:rtl/>
        </w:rPr>
        <w:t>ﭥ ﭦ</w:t>
      </w:r>
      <w:r w:rsidRPr="00486B52">
        <w:rPr>
          <w:rFonts w:ascii="QCF_P073" w:hAnsi="QCF_P073" w:cs="DecoType Thuluth"/>
          <w:b/>
          <w:bCs/>
          <w:sz w:val="18"/>
          <w:szCs w:val="18"/>
          <w:rtl/>
        </w:rPr>
        <w:t>}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آل عمران: 175]. كما يلمس أن في قراءة ابن محيصن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وآخر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دعواهم أنّ الحمد لله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دلالة على أن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في قراءة الجماعة مخففة من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وذهب إلى أن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قراءة ابن أبي عبلة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لا إله إلا هو الحي القيوم نزل عليك الكتاب بالحق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تدل على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استقلال الجملة السابقة، قال: ألا ترى أنه لا ضمير في قوله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نزَّل عليك الكتاب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يعود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على اسم الله </w:t>
      </w:r>
      <w:r w:rsidRPr="00486B5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تعالى. فعلى هذا، ينبغي أن تكون الجملة مستقلة أيضًا في قول من شدد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الزاي، ونصب الكتاب، فقراءة ابن أبي عبلة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الله لا إله إلا هو الحي القيوم نزَل عليك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الكتاب بالحق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، فيكون اسم الكتاب مرفوعًا بالابتداء، وقوله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لا إله إلا هو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خبرًا عنه،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ويكون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الحي القيوم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صفة له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أضف إلى ذلك أيضًا: كثيرًا من معاني القراءات الشاذة على القراءات المتواترة؛ مريدًا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بذلك التأكيد أن الشواذ تتصل بأسباب قوية بالقراءات المعروفة، ولا تقل عنها شأنا، ولا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ارتباطًا بأسلوب القرآن الكريم، فهي دلائل على كثير من المشهورات؛ لأنها ترتبط بها بأوثق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</w:rPr>
        <w:t>الصلات</w:t>
      </w:r>
      <w:r w:rsidRPr="00486B5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86B52" w:rsidRPr="00486B52" w:rsidRDefault="00486B52" w:rsidP="00486B52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486B52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486B52" w:rsidRPr="00486B52" w:rsidRDefault="00486B52" w:rsidP="00486B52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486B52" w:rsidRPr="00486B52" w:rsidRDefault="00486B52" w:rsidP="00486B52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486B52" w:rsidRPr="00486B52" w:rsidRDefault="00486B52" w:rsidP="00486B52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486B52" w:rsidRPr="00486B52" w:rsidRDefault="00486B52" w:rsidP="00486B5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486B52" w:rsidRPr="00486B52" w:rsidRDefault="00486B52" w:rsidP="00486B52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486B52" w:rsidRPr="00486B52" w:rsidRDefault="00486B52" w:rsidP="00486B52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486B52" w:rsidRPr="00486B52" w:rsidRDefault="00486B52" w:rsidP="00486B5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486B52" w:rsidRPr="00486B52" w:rsidRDefault="00486B52" w:rsidP="00486B52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486B52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486B52" w:rsidRPr="00486B52" w:rsidRDefault="00486B52" w:rsidP="00486B52">
      <w:pPr>
        <w:rPr>
          <w:rFonts w:hint="cs"/>
          <w:b/>
          <w:bCs/>
          <w:sz w:val="18"/>
          <w:szCs w:val="18"/>
        </w:rPr>
      </w:pPr>
    </w:p>
    <w:p w:rsidR="00486B52" w:rsidRPr="00486B52" w:rsidRDefault="00486B52" w:rsidP="00486B52">
      <w:pPr>
        <w:rPr>
          <w:b/>
          <w:bCs/>
          <w:sz w:val="18"/>
          <w:szCs w:val="18"/>
        </w:rPr>
      </w:pPr>
    </w:p>
    <w:p w:rsidR="00486B52" w:rsidRPr="00486B52" w:rsidRDefault="00486B52" w:rsidP="00486B52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486B52" w:rsidRPr="00486B52" w:rsidRDefault="00486B52" w:rsidP="00486B52">
      <w:pPr>
        <w:rPr>
          <w:b/>
          <w:bCs/>
          <w:sz w:val="18"/>
          <w:szCs w:val="18"/>
        </w:rPr>
      </w:pPr>
    </w:p>
    <w:p w:rsidR="004219C3" w:rsidRPr="00486B52" w:rsidRDefault="004219C3" w:rsidP="00486B52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sectPr w:rsidR="004219C3" w:rsidRPr="00486B52" w:rsidSect="00486B52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5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7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86B52"/>
    <w:rsid w:val="001A2769"/>
    <w:rsid w:val="004168A0"/>
    <w:rsid w:val="004219C3"/>
    <w:rsid w:val="00486B52"/>
    <w:rsid w:val="004A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6B5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86B52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486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5321</Characters>
  <Application>Microsoft Office Word</Application>
  <DocSecurity>0</DocSecurity>
  <Lines>44</Lines>
  <Paragraphs>12</Paragraphs>
  <ScaleCrop>false</ScaleCrop>
  <Company>Fannan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2013-06-16T15:18:00Z</dcterms:created>
  <dcterms:modified xsi:type="dcterms:W3CDTF">2013-06-16T15:22:00Z</dcterms:modified>
</cp:coreProperties>
</file>