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4A" w:rsidRDefault="00866C4A" w:rsidP="00866C4A">
      <w:pPr>
        <w:spacing w:before="60"/>
        <w:jc w:val="center"/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</w:pPr>
      <w:r w:rsidRPr="00866C4A"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  <w:t>القراءات الشاذة دليل على مذهب نحوي مختلف فيه</w:t>
      </w:r>
    </w:p>
    <w:p w:rsidR="00866C4A" w:rsidRPr="00F7753E" w:rsidRDefault="00866C4A" w:rsidP="00866C4A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866C4A" w:rsidRPr="00F7753E" w:rsidRDefault="00866C4A" w:rsidP="00866C4A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866C4A" w:rsidRPr="00F7753E" w:rsidRDefault="00866C4A" w:rsidP="00866C4A">
      <w:pPr>
        <w:jc w:val="center"/>
        <w:rPr>
          <w:rFonts w:asciiTheme="majorBidi" w:eastAsia="Calibri" w:hAnsiTheme="majorBidi" w:cstheme="majorBidi"/>
          <w:sz w:val="18"/>
          <w:szCs w:val="18"/>
          <w:rtl/>
        </w:rPr>
      </w:pPr>
      <w:r w:rsidRPr="00F7753E">
        <w:rPr>
          <w:rFonts w:asciiTheme="majorBidi" w:hAnsiTheme="majorBidi" w:cstheme="majorBidi"/>
          <w:sz w:val="18"/>
          <w:szCs w:val="18"/>
          <w:rtl/>
        </w:rPr>
        <w:t xml:space="preserve">مبحث فى </w:t>
      </w:r>
      <w:r w:rsidRPr="00F7753E">
        <w:rPr>
          <w:rFonts w:asciiTheme="majorBidi" w:hAnsiTheme="majorBidi" w:cstheme="majorBidi" w:hint="cs"/>
          <w:sz w:val="18"/>
          <w:szCs w:val="18"/>
          <w:rtl/>
        </w:rPr>
        <w:t xml:space="preserve">علم </w:t>
      </w:r>
      <w:r w:rsidRPr="00F7753E">
        <w:rPr>
          <w:rFonts w:asciiTheme="majorBidi" w:eastAsia="Calibri" w:hAnsiTheme="majorBidi" w:cstheme="majorBidi" w:hint="cs"/>
          <w:sz w:val="18"/>
          <w:szCs w:val="18"/>
          <w:rtl/>
        </w:rPr>
        <w:t>القراءات الشاذه</w:t>
      </w:r>
    </w:p>
    <w:p w:rsidR="00866C4A" w:rsidRPr="00426F7E" w:rsidRDefault="00866C4A" w:rsidP="00866C4A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إعداد / أحمد محمد سمير</w:t>
      </w:r>
    </w:p>
    <w:p w:rsidR="00866C4A" w:rsidRPr="00426F7E" w:rsidRDefault="00866C4A" w:rsidP="00866C4A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قسم الدعوة وأصول الدين</w:t>
      </w:r>
    </w:p>
    <w:p w:rsidR="00866C4A" w:rsidRPr="00426F7E" w:rsidRDefault="00866C4A" w:rsidP="00866C4A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كلية العلوم الإسلامية – جامعة المدينة العالمية</w:t>
      </w:r>
    </w:p>
    <w:p w:rsidR="00866C4A" w:rsidRPr="00426F7E" w:rsidRDefault="00866C4A" w:rsidP="00866C4A">
      <w:pPr>
        <w:jc w:val="center"/>
        <w:rPr>
          <w:rFonts w:asciiTheme="majorBidi" w:hAnsiTheme="majorBidi" w:cstheme="majorBidi"/>
          <w:sz w:val="18"/>
          <w:szCs w:val="18"/>
          <w:rtl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شاه علم - ماليزيا</w:t>
      </w:r>
    </w:p>
    <w:p w:rsidR="00866C4A" w:rsidRDefault="00866C4A" w:rsidP="00866C4A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hyperlink r:id="rId5" w:history="1">
        <w:r w:rsidRPr="00DE0243">
          <w:rPr>
            <w:rStyle w:val="Hyperlink"/>
            <w:rFonts w:asciiTheme="majorBidi" w:hAnsiTheme="majorBidi" w:cstheme="majorBidi"/>
            <w:b/>
            <w:bCs/>
            <w:sz w:val="18"/>
            <w:szCs w:val="18"/>
          </w:rPr>
          <w:t>Ahmedmsamir54@gmail.com</w:t>
        </w:r>
      </w:hyperlink>
    </w:p>
    <w:p w:rsidR="00866C4A" w:rsidRPr="00426F7E" w:rsidRDefault="00866C4A" w:rsidP="00866C4A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866C4A" w:rsidRDefault="00866C4A" w:rsidP="00866C4A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  <w:sectPr w:rsidR="00866C4A" w:rsidSect="00866C4A">
          <w:pgSz w:w="11906" w:h="16838"/>
          <w:pgMar w:top="1440" w:right="1274" w:bottom="1440" w:left="1800" w:header="708" w:footer="708" w:gutter="0"/>
          <w:cols w:space="708"/>
          <w:bidi/>
          <w:rtlGutter/>
          <w:docGrid w:linePitch="360"/>
        </w:sectPr>
      </w:pPr>
    </w:p>
    <w:p w:rsidR="00866C4A" w:rsidRPr="00866C4A" w:rsidRDefault="00866C4A" w:rsidP="00866C4A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Pr="00866C4A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القراءات الشاذة دليل على مذهب نحوي مختلف فيه</w:t>
      </w:r>
    </w:p>
    <w:p w:rsidR="00866C4A" w:rsidRPr="00866C4A" w:rsidRDefault="00866C4A" w:rsidP="00866C4A">
      <w:pPr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866C4A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 w:rsidRPr="00866C4A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الشاذه، دليل، مختلف</w:t>
      </w:r>
    </w:p>
    <w:p w:rsidR="00866C4A" w:rsidRPr="00866C4A" w:rsidRDefault="00866C4A" w:rsidP="00866C4A">
      <w:pPr>
        <w:numPr>
          <w:ilvl w:val="0"/>
          <w:numId w:val="2"/>
        </w:numPr>
        <w:spacing w:after="200"/>
        <w:ind w:left="64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>.المقدمة</w:t>
      </w:r>
    </w:p>
    <w:p w:rsidR="00866C4A" w:rsidRPr="00866C4A" w:rsidRDefault="00866C4A" w:rsidP="00866C4A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866C4A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القراءات الشاذة دليل على مذهب نحوي مختلف فيه</w:t>
      </w:r>
    </w:p>
    <w:p w:rsidR="00866C4A" w:rsidRPr="00866C4A" w:rsidRDefault="00866C4A" w:rsidP="00866C4A">
      <w:pPr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>.عنوان المقال</w:t>
      </w:r>
    </w:p>
    <w:p w:rsidR="00866C4A" w:rsidRPr="00866C4A" w:rsidRDefault="00866C4A" w:rsidP="00866C4A">
      <w:pPr>
        <w:jc w:val="center"/>
        <w:rPr>
          <w:rFonts w:asciiTheme="majorBidi" w:eastAsia="Calibri" w:hAnsiTheme="majorBidi" w:cstheme="majorBidi"/>
          <w:b/>
          <w:bCs/>
          <w:sz w:val="18"/>
          <w:szCs w:val="18"/>
        </w:rPr>
      </w:pPr>
    </w:p>
    <w:p w:rsidR="00866C4A" w:rsidRPr="00866C4A" w:rsidRDefault="00866C4A" w:rsidP="00866C4A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ج</w:t>
      </w:r>
      <w:r w:rsidRPr="00866C4A">
        <w:rPr>
          <w:rFonts w:ascii="Simplified Arabic" w:hAnsi="Simplified Arabic" w:cs="Traditional Arabic" w:hint="cs"/>
          <w:b/>
          <w:bCs/>
          <w:sz w:val="18"/>
          <w:szCs w:val="18"/>
          <w:rtl/>
        </w:rPr>
        <w:t>.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القراءات الشاذة دليل على مذهب نحوي مختلف فيه: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لمح ابن جني في هذه الشواذ بعض الدلائل على مذاهب نحوية متنازع فيها،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ولكن أغلب هذه الدلائل كان يؤيد مذهب البصريين الذين ينزع إليهم، ويذكرهم باسم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أصحابه، ويستعين بآرائهم. فمثال ذلك: قراءة مجاهد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قل تربصوا فإني معكم من المتربصين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أم تأمرهم أحلامهم بهذا بل هم قوم طاغون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، فقد ذهب إلى أن هذه القراءة دليل على أن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معنى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أم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المنقطعة هو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بل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، وصرح بأن ذلك هو مذهب أصحابه قائلًا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هذا هو الموضع الذي يقول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فيه أصحابنا: إن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أم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المنقطعة بمعنى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بل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". </w:t>
      </w:r>
    </w:p>
    <w:p w:rsidR="00866C4A" w:rsidRPr="00866C4A" w:rsidRDefault="00866C4A" w:rsidP="00866C4A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وقد استدل أيضًا بقراءة ابن مسعود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وباطلًا ما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كانوا يعملون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على جواز تقديم خبر كان عليها، قال: ووجه الدلالة من ذلك: أنه إنما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يجوز وقوع المعمول بحيث يجوز وقوع العامل، و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باطلا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، منصوب بـ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يعملون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،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والموضع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إذا ليعملون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؛ لوقوع معموله متقدمًا عليه، وقد تكون القراءة الشاذة عنده دليلًا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إضافيًا إلى جانب الأدلة الأخرى التي تؤيد المذهب أي: تؤيد مذهبه، نذكر من ذلك قراءة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ابن يعمر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هذا ذكر من معي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،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فقد جعلها أبو الفتح أحد ما يدل على مجيء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مع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اسمًا؛ وذلك لدخول حرف الجر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عليها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66C4A" w:rsidRPr="00866C4A" w:rsidRDefault="00866C4A" w:rsidP="00866C4A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وقد ذكر في كتابه أيضًا حكاية سيبويه عن بعض العرب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جئت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من معهم. فأبو الفتح يستدل بهذه القراءات على مذاهب البصريين،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ولكن هذه الاستدلالات تصب أيضًا في ميدان النحو العربي، ولعل عزوف ابن مجاهد عن مثل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هذه القراءات يعود إلى أنه كوفي المذهب، والمستقرئ لكتاب (المحتسب) يرى أنه قد سفه من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آراء ابن مجاهد، ورد عليه رد</w:t>
      </w:r>
      <w:r w:rsidRPr="00866C4A">
        <w:rPr>
          <w:rFonts w:ascii="Simplified Arabic" w:hAnsi="Simplified Arabic" w:cs="AL-Hotham" w:hint="cs"/>
          <w:b/>
          <w:bCs/>
          <w:sz w:val="18"/>
          <w:szCs w:val="18"/>
          <w:rtl/>
        </w:rPr>
        <w:t>ًّ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ا عنيفًا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66C4A" w:rsidRPr="00866C4A" w:rsidRDefault="00866C4A" w:rsidP="00866C4A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استعمل ابن جني قريحته الفاذة في (المحتسب)؛ لتوجيه عدد من الشواذ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التي عجز النحاة قبله عن تخريجها؛ فسكتوا عنها، أو طعنوا عليها، وكان غالبًا ما يذكر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لهم هذه المواقف، ويحمل عليهم، بل يقسو على بعضهم، وتتجلى هذه القسوة في ردوده على ابن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مجاهد، والدليل على ذلك: عندما سئل أبو عمرو بن العلاء عن وجه قراءة الحسن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ولئن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أصابكم فضل من الله ليقولن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فسكت، فذهب ابن جني إلى أن الضمير في قوله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ليقولن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يعود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على معناه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من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في الآية السابقة لها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وإن منكم لمن ليبطئن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؛ لأن الله </w:t>
      </w:r>
      <w:r w:rsidRPr="00866C4A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تعالى</w:t>
      </w:r>
      <w:r w:rsidRPr="00866C4A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لا يريد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بهذه الآية رجلًا واحدًا بل جماعة، هذا وصف كل واحد منهم، ولما كان جمعًا في المعنى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عاد الضمير على معناه دون لفظه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66C4A" w:rsidRPr="00866C4A" w:rsidRDefault="00866C4A" w:rsidP="00866C4A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وكذلك </w:t>
      </w:r>
      <w:r w:rsidRPr="00866C4A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أيض</w:t>
      </w:r>
      <w:r w:rsidRPr="00866C4A">
        <w:rPr>
          <w:rFonts w:ascii="Simplified Arabic" w:hAnsi="Simplified Arabic" w:cs="AL-Hotham" w:hint="cs"/>
          <w:b/>
          <w:bCs/>
          <w:sz w:val="18"/>
          <w:szCs w:val="18"/>
          <w:rtl/>
        </w:rPr>
        <w:t>ً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ا</w:t>
      </w:r>
      <w:r w:rsidRPr="00866C4A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عندما سئل سيبويه عن وجه تنوين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تقوًى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في قراءة عيسى بن عمر الثقفي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أفمن أسس بنيانه على تقوًى من الله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، فقال: لا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أدري، ولا أعرفه. فحمله ابن جني على أن الألف في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تقوى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للإلحاق لا للتأنيث، وجعله مثل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تنوين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تترًى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، وقد لامه على ذلك، فقال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وكان الأشبه بقدر سيبويه ألا يقف في مقياس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ذلك،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lastRenderedPageBreak/>
        <w:t>وألا يقول: لا أدري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وقد خرج أبو الفتح أيضًا بعض القراءات الأخرى التي قال فيها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الأعرج، وابن مجاهد: لا أعرف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866C4A" w:rsidRPr="00866C4A" w:rsidRDefault="00866C4A" w:rsidP="00866C4A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و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كما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تلمس أبو الفتح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أن يجد لما أعيى النحاة وجوهًا استطاع أن يوجه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القراءات التي طعنوا عليها، فما الطعن إلا لون من ألوان العجز، بل هو أردأ أنواعه،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والرد عليه لم يكون عتابًا، ولا سيما إذا كان الطاعن كوفيًا كابن مجاهد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866C4A" w:rsidRPr="00866C4A" w:rsidRDefault="00866C4A" w:rsidP="00866C4A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فمن ذلك: أنه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ذهب في قراءة سعيد بن جبير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هؤلاء بناتي هن أطهرَ لكم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التي لحنها أبو عمرو ابن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العلاء، وسيبويه، والمبرد إلى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أنهن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خبر لبناتي، وأن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أطهر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حال منهن، والعامل فيها معنى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الإشارة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866C4A" w:rsidRPr="00866C4A" w:rsidRDefault="00866C4A" w:rsidP="00866C4A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pacing w:val="-4"/>
          <w:sz w:val="18"/>
          <w:szCs w:val="18"/>
          <w:lang w:bidi="ar-EG"/>
        </w:rPr>
      </w:pP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كما أنه انتقد النحاة الذين يسرعون إلى تخطئة القراءات، بل وعاب عليهم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تقصيرهم في إيجاد الوجوه المناسبة لها، فقد رد على أبي حاتم قوله: إن قراءة الحسن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>: "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لولا تدرّكه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نعمة من ربه لنبذ بالعراء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>"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، خطأ، ووجد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أنها جائزة على حكاية الحال الماضية المنقضية، أي: لولا أن كان يقال فيه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داركه نعمة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من ربه لنبذ بالعراء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. </w:t>
      </w:r>
    </w:p>
    <w:p w:rsidR="00866C4A" w:rsidRPr="00866C4A" w:rsidRDefault="00866C4A" w:rsidP="00866C4A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pacing w:val="-2"/>
          <w:sz w:val="18"/>
          <w:szCs w:val="18"/>
          <w:lang w:bidi="ar-EG"/>
        </w:rPr>
      </w:pP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>كما رد أقوال ابن مجاهد التي أكثر فيها من الطعن، والتغليظ،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>والاستنكار، ومن ذلك: أنه رد حكمه بالغلط على قراءة أبي العالية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  <w:lang w:bidi="ar-EG"/>
        </w:rPr>
        <w:t>: "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>لا تنفع نفسا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>إيمانها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  <w:lang w:bidi="ar-EG"/>
        </w:rPr>
        <w:t>"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>، وقرر أنها محمولة على تأنيث فعل مضاف المذكر الذي أضيف إلى مؤنث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>فاكتسب تأنيثه من النفس؛ لأنه بعض منها، كما رد عليه استنكاره لقراءة شيبة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  <w:lang w:bidi="ar-EG"/>
        </w:rPr>
        <w:t xml:space="preserve"> "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>لو أذن لي بكم قوة أو آوي إلى ركن شديد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  <w:lang w:bidi="ar-EG"/>
        </w:rPr>
        <w:t xml:space="preserve">" 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>هذه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>هي قراءة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>شيبة، وخرجها على إضمار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  <w:lang w:bidi="ar-EG"/>
        </w:rPr>
        <w:t xml:space="preserve"> "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>أن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  <w:lang w:bidi="ar-EG"/>
        </w:rPr>
        <w:t xml:space="preserve">" 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>الناصبة لآوي، وعطف مصدر على مصدر، والتقدير: لو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</w:rPr>
        <w:t>أن لي بكم قوة أو أويًا</w:t>
      </w:r>
      <w:r w:rsidRPr="00866C4A">
        <w:rPr>
          <w:rFonts w:ascii="Simplified Arabic" w:hAnsi="Simplified Arabic" w:cs="AL-Hotham"/>
          <w:b/>
          <w:bCs/>
          <w:spacing w:val="-2"/>
          <w:sz w:val="18"/>
          <w:szCs w:val="18"/>
          <w:rtl/>
          <w:lang w:bidi="ar-EG"/>
        </w:rPr>
        <w:t>.</w:t>
      </w:r>
    </w:p>
    <w:p w:rsidR="00866C4A" w:rsidRPr="00866C4A" w:rsidRDefault="00866C4A" w:rsidP="00866C4A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وقد رد ابن جني أحكامًا جائزة أخرى كقوله في بعضها: وهو خطأ، وهو مردود في العربية،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ولا أصل له، وليس هذا بشيء، ولا يقرأ به، وأوجد لتلك القراءات الوجوه النحوية المناسبة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</w:rPr>
        <w:t>لها، وأيدها بأساليب العربية المختلفة</w:t>
      </w:r>
      <w:r w:rsidRPr="00866C4A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866C4A" w:rsidRPr="00866C4A" w:rsidRDefault="00866C4A" w:rsidP="00866C4A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pacing w:val="-4"/>
          <w:sz w:val="18"/>
          <w:szCs w:val="18"/>
          <w:lang w:bidi="ar-EG"/>
        </w:rPr>
      </w:pP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وبذلك نراه أنه قد خرج الكثير من القراءات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التي عجز عنها النحاة، ونبه إلى العديد من هذه المواضع، فلام بعضهم لومًا رقيقًا،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واشتد على بعضهم، ثم وجه القراءات، واحتج لها بما انتهى إليه من أساليب اللغة، كما خرج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الكثير من القراءات التي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لم يتوقف عندها النحاة، أو ربما وقفوا عندها، ولم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يبلغنا ذلك عنهم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>.</w:t>
      </w:r>
    </w:p>
    <w:p w:rsidR="00866C4A" w:rsidRPr="00866C4A" w:rsidRDefault="00866C4A" w:rsidP="00866C4A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 w:hint="cs"/>
          <w:b/>
          <w:bCs/>
          <w:spacing w:val="-4"/>
          <w:sz w:val="18"/>
          <w:szCs w:val="18"/>
          <w:rtl/>
          <w:lang w:bidi="ar-EG"/>
        </w:rPr>
      </w:pP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 xml:space="preserve">والخلاصة: </w:t>
      </w:r>
      <w:r w:rsidRPr="00866C4A">
        <w:rPr>
          <w:rFonts w:ascii="Simplified Arabic" w:hAnsi="Simplified Arabic" w:cs="AL-Hotham" w:hint="cs"/>
          <w:b/>
          <w:bCs/>
          <w:spacing w:val="-4"/>
          <w:sz w:val="18"/>
          <w:szCs w:val="18"/>
          <w:rtl/>
        </w:rPr>
        <w:t>أ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ن هذه المواقف جميعًا تترجم لنا بوضوح الحماسة البالغة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التي دفعت ابن جني لتأليف كتابه، وتفسر لنا موقفه النظري من القراءات التي استبعدها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ابن مجاهد،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وتفصح أيضًا عن منهجه في النظر إلى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اللغة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 xml:space="preserve">عموما، ولكن المنهج والرغبة </w:t>
      </w:r>
      <w:r w:rsidRPr="00866C4A">
        <w:rPr>
          <w:rFonts w:ascii="Simplified Arabic" w:hAnsi="Simplified Arabic" w:cs="Traditional Arabic"/>
          <w:b/>
          <w:bCs/>
          <w:spacing w:val="-4"/>
          <w:sz w:val="18"/>
          <w:szCs w:val="18"/>
          <w:rtl/>
        </w:rPr>
        <w:t>-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كما يبدو</w:t>
      </w:r>
      <w:r w:rsidRPr="00866C4A">
        <w:rPr>
          <w:rFonts w:ascii="Simplified Arabic" w:hAnsi="Simplified Arabic" w:cs="Traditional Arabic"/>
          <w:b/>
          <w:bCs/>
          <w:spacing w:val="-4"/>
          <w:sz w:val="18"/>
          <w:szCs w:val="18"/>
          <w:rtl/>
        </w:rPr>
        <w:t>-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 xml:space="preserve"> لا يستطيعان الانتصار لكل ما أغفله ابن مجاهد،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ولا يكفلان المضي في الطريق التي رسمها لنفسه، وعند ذلك لا بد من الوقوع في ما وقع به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النحاة من قبل</w:t>
      </w:r>
      <w:r w:rsidRPr="00866C4A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>.</w:t>
      </w:r>
    </w:p>
    <w:p w:rsidR="00866C4A" w:rsidRPr="00866C4A" w:rsidRDefault="00866C4A" w:rsidP="00866C4A">
      <w:pPr>
        <w:jc w:val="lowKashida"/>
        <w:rPr>
          <w:rFonts w:asciiTheme="majorBidi" w:hAnsiTheme="majorBidi" w:cstheme="majorBidi" w:hint="cs"/>
          <w:b/>
          <w:bCs/>
          <w:sz w:val="18"/>
          <w:szCs w:val="18"/>
        </w:rPr>
      </w:pPr>
      <w:r w:rsidRPr="00866C4A">
        <w:rPr>
          <w:rFonts w:asciiTheme="majorBidi" w:hAnsiTheme="majorBidi" w:cstheme="majorBidi" w:hint="cs"/>
          <w:b/>
          <w:bCs/>
          <w:sz w:val="18"/>
          <w:szCs w:val="18"/>
          <w:rtl/>
        </w:rPr>
        <w:t>المراجع والمصادر</w:t>
      </w:r>
    </w:p>
    <w:p w:rsidR="00866C4A" w:rsidRPr="00866C4A" w:rsidRDefault="00866C4A" w:rsidP="00866C4A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(المحتسب في تبيين وجوه شواذ القراءات والإيضاح عنها) </w:t>
      </w:r>
    </w:p>
    <w:p w:rsidR="00866C4A" w:rsidRPr="00866C4A" w:rsidRDefault="00866C4A" w:rsidP="00866C4A">
      <w:pPr>
        <w:ind w:left="4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>أبو الفتح عثمان بن جني،  بتحقيق علي النجدي ناصف وزميليه، القاهرة، طبعة المجلس الأعلى للشئون الإسلامية، 1994م</w:t>
      </w:r>
    </w:p>
    <w:p w:rsidR="00866C4A" w:rsidRPr="00866C4A" w:rsidRDefault="00866C4A" w:rsidP="00866C4A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(مرشد الأعزة في بيان موقف العلماء من القراءات الشاذة) </w:t>
      </w:r>
    </w:p>
    <w:p w:rsidR="00866C4A" w:rsidRPr="00866C4A" w:rsidRDefault="00866C4A" w:rsidP="00866C4A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>عبد الكريم إبراهيم صالح،  دار المحدثين, 2006م</w:t>
      </w:r>
    </w:p>
    <w:p w:rsidR="00866C4A" w:rsidRPr="00866C4A" w:rsidRDefault="00866C4A" w:rsidP="00866C4A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إعراب القراءات الشواذ) </w:t>
      </w:r>
    </w:p>
    <w:p w:rsidR="00866C4A" w:rsidRPr="00866C4A" w:rsidRDefault="00866C4A" w:rsidP="00866C4A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>أبو البقاء العكبري،  بتحقيق محمد السيد أحمد عزوز،  عالم الكتب, 1996م</w:t>
      </w:r>
    </w:p>
    <w:p w:rsidR="00866C4A" w:rsidRPr="00866C4A" w:rsidRDefault="00866C4A" w:rsidP="00866C4A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(الاختلاف بين القراءات) </w:t>
      </w:r>
    </w:p>
    <w:p w:rsidR="00866C4A" w:rsidRPr="00866C4A" w:rsidRDefault="00866C4A" w:rsidP="00866C4A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>أحمد البيلي،  بيروت، دار الجبل، 1988م</w:t>
      </w:r>
    </w:p>
    <w:p w:rsidR="00866C4A" w:rsidRPr="00866C4A" w:rsidRDefault="00866C4A" w:rsidP="00866C4A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النحوي) </w:t>
      </w:r>
    </w:p>
    <w:p w:rsidR="00866C4A" w:rsidRPr="00866C4A" w:rsidRDefault="00866C4A" w:rsidP="00866C4A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>محمود أحمد الصغير، بيروت، دار الفكر المعاصر, 1999م</w:t>
      </w:r>
    </w:p>
    <w:p w:rsidR="00866C4A" w:rsidRPr="00866C4A" w:rsidRDefault="00866C4A" w:rsidP="00866C4A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(كتاب المصاحف) </w:t>
      </w:r>
    </w:p>
    <w:p w:rsidR="00866C4A" w:rsidRPr="00866C4A" w:rsidRDefault="00866C4A" w:rsidP="00866C4A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الله بن أبي داود سليمان بن الأشعث السجستاني، بيروت، دار الكتب العلمية, 1985م</w:t>
      </w:r>
    </w:p>
    <w:p w:rsidR="00866C4A" w:rsidRPr="00866C4A" w:rsidRDefault="00866C4A" w:rsidP="00866C4A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(مختصر في شواذ القران من كتاب البديع أو القراءات الشاذة) </w:t>
      </w:r>
    </w:p>
    <w:p w:rsidR="00866C4A" w:rsidRPr="00866C4A" w:rsidRDefault="00866C4A" w:rsidP="00866C4A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>الحسين بن احمد ابن خالويه، دار الهجرة،  1934م</w:t>
      </w:r>
    </w:p>
    <w:p w:rsidR="00866C4A" w:rsidRPr="00866C4A" w:rsidRDefault="00866C4A" w:rsidP="00866C4A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القرآنية في بلاد الشام) </w:t>
      </w:r>
    </w:p>
    <w:p w:rsidR="00866C4A" w:rsidRPr="00866C4A" w:rsidRDefault="00866C4A" w:rsidP="00866C4A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>حسين عطوان، بيروت، دار الجيل, 1982م</w:t>
      </w:r>
    </w:p>
    <w:p w:rsidR="00866C4A" w:rsidRPr="00866C4A" w:rsidRDefault="00866C4A" w:rsidP="00866C4A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من لغة العرب) </w:t>
      </w:r>
    </w:p>
    <w:p w:rsidR="00866C4A" w:rsidRPr="00866C4A" w:rsidRDefault="00866C4A" w:rsidP="00866C4A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>عبد الفتاح القاضي، الهيئة العامة لشئون المطابع الأميرية، 1975م</w:t>
      </w:r>
    </w:p>
    <w:p w:rsidR="00866C4A" w:rsidRPr="00866C4A" w:rsidRDefault="00866C4A" w:rsidP="00866C4A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(اليزيدي القارئ النحوي دراسة نحوية قرآنية) </w:t>
      </w:r>
    </w:p>
    <w:p w:rsidR="00866C4A" w:rsidRPr="00866C4A" w:rsidRDefault="00866C4A" w:rsidP="00866C4A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 ،  دار الحسين الإسلامية, 1989م.</w:t>
      </w:r>
    </w:p>
    <w:p w:rsidR="00866C4A" w:rsidRPr="00866C4A" w:rsidRDefault="00866C4A" w:rsidP="00866C4A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(شواهد القراءات بين ابن هشام وابن عقيل، دراسة نحوية تحليلية) </w:t>
      </w:r>
    </w:p>
    <w:p w:rsidR="00866C4A" w:rsidRPr="00866C4A" w:rsidRDefault="00866C4A" w:rsidP="00866C4A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سحلول،  دار الطباعة المحمدية, 1993م</w:t>
      </w:r>
    </w:p>
    <w:p w:rsidR="00866C4A" w:rsidRPr="00866C4A" w:rsidRDefault="00866C4A" w:rsidP="00866C4A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أبي السمال العدوي) </w:t>
      </w:r>
    </w:p>
    <w:p w:rsidR="00866C4A" w:rsidRPr="00866C4A" w:rsidRDefault="00866C4A" w:rsidP="00866C4A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>حمدي عبد الفتاح مصطفى خليل، الجريس، القاهرة, 2000م</w:t>
      </w:r>
    </w:p>
    <w:p w:rsidR="00866C4A" w:rsidRPr="00866C4A" w:rsidRDefault="00866C4A" w:rsidP="00866C4A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عبد الله بن مسعود مكانتها ومصادرها إحصاؤها) </w:t>
      </w:r>
    </w:p>
    <w:p w:rsidR="00866C4A" w:rsidRPr="00866C4A" w:rsidRDefault="00866C4A" w:rsidP="00866C4A">
      <w:pPr>
        <w:pStyle w:val="NormalWeb"/>
        <w:bidi/>
        <w:spacing w:before="0" w:beforeAutospacing="0" w:after="0" w:afterAutospacing="0"/>
        <w:ind w:left="284" w:firstLine="436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866C4A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محمد أحمد خاطر، دار الاعتصام, 1990م</w:t>
      </w:r>
    </w:p>
    <w:p w:rsidR="00866C4A" w:rsidRPr="00866C4A" w:rsidRDefault="00866C4A" w:rsidP="00866C4A">
      <w:pPr>
        <w:rPr>
          <w:rFonts w:hint="cs"/>
          <w:b/>
          <w:bCs/>
          <w:sz w:val="18"/>
          <w:szCs w:val="18"/>
        </w:rPr>
      </w:pPr>
    </w:p>
    <w:p w:rsidR="00866C4A" w:rsidRPr="00866C4A" w:rsidRDefault="00866C4A" w:rsidP="00866C4A">
      <w:pPr>
        <w:rPr>
          <w:b/>
          <w:bCs/>
          <w:sz w:val="18"/>
          <w:szCs w:val="18"/>
        </w:rPr>
      </w:pPr>
    </w:p>
    <w:p w:rsidR="00866C4A" w:rsidRPr="00866C4A" w:rsidRDefault="00866C4A" w:rsidP="00866C4A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866C4A" w:rsidRPr="00866C4A" w:rsidRDefault="00866C4A" w:rsidP="00866C4A">
      <w:pPr>
        <w:rPr>
          <w:b/>
          <w:bCs/>
          <w:sz w:val="18"/>
          <w:szCs w:val="18"/>
        </w:rPr>
      </w:pPr>
    </w:p>
    <w:p w:rsidR="004219C3" w:rsidRPr="00866C4A" w:rsidRDefault="004219C3" w:rsidP="00866C4A">
      <w:pPr>
        <w:jc w:val="center"/>
        <w:rPr>
          <w:rFonts w:asciiTheme="majorBidi" w:eastAsia="Calibri" w:hAnsiTheme="majorBidi" w:cstheme="majorBidi"/>
          <w:b/>
          <w:bCs/>
          <w:sz w:val="18"/>
          <w:szCs w:val="18"/>
        </w:rPr>
      </w:pPr>
    </w:p>
    <w:sectPr w:rsidR="004219C3" w:rsidRPr="00866C4A" w:rsidSect="00866C4A">
      <w:type w:val="continuous"/>
      <w:pgSz w:w="11906" w:h="16838"/>
      <w:pgMar w:top="1440" w:right="1274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54AF07C7"/>
    <w:multiLevelType w:val="hybridMultilevel"/>
    <w:tmpl w:val="3DB6F57A"/>
    <w:lvl w:ilvl="0" w:tplc="ED52165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66C4A"/>
    <w:rsid w:val="001A2769"/>
    <w:rsid w:val="004168A0"/>
    <w:rsid w:val="004219C3"/>
    <w:rsid w:val="004A286F"/>
    <w:rsid w:val="0086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C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6C4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66C4A"/>
    <w:pPr>
      <w:bidi w:val="0"/>
      <w:spacing w:before="100" w:beforeAutospacing="1" w:after="100" w:afterAutospacing="1"/>
    </w:pPr>
    <w:rPr>
      <w:lang w:bidi="ar-SA"/>
    </w:rPr>
  </w:style>
  <w:style w:type="character" w:styleId="Hyperlink">
    <w:name w:val="Hyperlink"/>
    <w:basedOn w:val="DefaultParagraphFont"/>
    <w:uiPriority w:val="99"/>
    <w:unhideWhenUsed/>
    <w:rsid w:val="00866C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medmsamir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5209</Characters>
  <Application>Microsoft Office Word</Application>
  <DocSecurity>0</DocSecurity>
  <Lines>43</Lines>
  <Paragraphs>12</Paragraphs>
  <ScaleCrop>false</ScaleCrop>
  <Company>Fannan</Company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Fannan NewLook V5</cp:lastModifiedBy>
  <cp:revision>1</cp:revision>
  <dcterms:created xsi:type="dcterms:W3CDTF">2013-06-16T15:18:00Z</dcterms:created>
  <dcterms:modified xsi:type="dcterms:W3CDTF">2013-06-16T15:22:00Z</dcterms:modified>
</cp:coreProperties>
</file>