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54C" w:rsidRDefault="0023354C" w:rsidP="0023354C">
      <w:pPr>
        <w:spacing w:before="60"/>
        <w:jc w:val="center"/>
        <w:rPr>
          <w:rFonts w:asciiTheme="majorBidi" w:eastAsia="Calibri" w:hAnsiTheme="majorBidi" w:cstheme="majorBidi" w:hint="cs"/>
          <w:b/>
          <w:bCs/>
          <w:sz w:val="48"/>
          <w:szCs w:val="48"/>
          <w:rtl/>
        </w:rPr>
      </w:pPr>
      <w:r w:rsidRPr="0023354C">
        <w:rPr>
          <w:rFonts w:asciiTheme="majorBidi" w:eastAsia="Calibri" w:hAnsiTheme="majorBidi" w:cstheme="majorBidi"/>
          <w:b/>
          <w:bCs/>
          <w:sz w:val="48"/>
          <w:szCs w:val="48"/>
          <w:rtl/>
        </w:rPr>
        <w:t>منهج ابن جني في كتابه (المحتسب)</w:t>
      </w:r>
    </w:p>
    <w:p w:rsidR="0023354C" w:rsidRDefault="0023354C" w:rsidP="0023354C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23354C" w:rsidRPr="00F7753E" w:rsidRDefault="0023354C" w:rsidP="0023354C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23354C" w:rsidRPr="00F7753E" w:rsidRDefault="0023354C" w:rsidP="0023354C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23354C" w:rsidRPr="00F7753E" w:rsidRDefault="0023354C" w:rsidP="0023354C">
      <w:pPr>
        <w:jc w:val="center"/>
        <w:rPr>
          <w:rFonts w:asciiTheme="majorBidi" w:eastAsia="Calibri" w:hAnsiTheme="majorBidi" w:cstheme="majorBidi"/>
          <w:sz w:val="18"/>
          <w:szCs w:val="18"/>
          <w:rtl/>
        </w:rPr>
      </w:pPr>
      <w:r w:rsidRPr="00F7753E">
        <w:rPr>
          <w:rFonts w:asciiTheme="majorBidi" w:hAnsiTheme="majorBidi" w:cstheme="majorBidi"/>
          <w:sz w:val="18"/>
          <w:szCs w:val="18"/>
          <w:rtl/>
        </w:rPr>
        <w:t xml:space="preserve">مبحث فى </w:t>
      </w:r>
      <w:r w:rsidRPr="00F7753E">
        <w:rPr>
          <w:rFonts w:asciiTheme="majorBidi" w:hAnsiTheme="majorBidi" w:cstheme="majorBidi" w:hint="cs"/>
          <w:sz w:val="18"/>
          <w:szCs w:val="18"/>
          <w:rtl/>
        </w:rPr>
        <w:t xml:space="preserve">علم </w:t>
      </w:r>
      <w:r w:rsidRPr="00F7753E">
        <w:rPr>
          <w:rFonts w:asciiTheme="majorBidi" w:eastAsia="Calibri" w:hAnsiTheme="majorBidi" w:cstheme="majorBidi" w:hint="cs"/>
          <w:sz w:val="18"/>
          <w:szCs w:val="18"/>
          <w:rtl/>
        </w:rPr>
        <w:t>القراءات الشاذه</w:t>
      </w:r>
    </w:p>
    <w:p w:rsidR="0023354C" w:rsidRPr="00426F7E" w:rsidRDefault="0023354C" w:rsidP="0023354C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إعداد / أحمد محمد سمير</w:t>
      </w:r>
    </w:p>
    <w:p w:rsidR="0023354C" w:rsidRPr="00426F7E" w:rsidRDefault="0023354C" w:rsidP="0023354C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قسم الدعوة وأصول الدين</w:t>
      </w:r>
    </w:p>
    <w:p w:rsidR="0023354C" w:rsidRPr="00426F7E" w:rsidRDefault="0023354C" w:rsidP="0023354C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كلية العلوم الإسلامية – جامعة المدينة العالمية</w:t>
      </w:r>
    </w:p>
    <w:p w:rsidR="0023354C" w:rsidRPr="00426F7E" w:rsidRDefault="0023354C" w:rsidP="0023354C">
      <w:pPr>
        <w:jc w:val="center"/>
        <w:rPr>
          <w:rFonts w:asciiTheme="majorBidi" w:hAnsiTheme="majorBidi" w:cstheme="majorBidi"/>
          <w:sz w:val="18"/>
          <w:szCs w:val="18"/>
          <w:rtl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شاه علم - ماليزيا</w:t>
      </w:r>
    </w:p>
    <w:p w:rsidR="0023354C" w:rsidRDefault="0023354C" w:rsidP="0023354C">
      <w:pPr>
        <w:tabs>
          <w:tab w:val="left" w:pos="4050"/>
        </w:tabs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hyperlink r:id="rId7" w:history="1">
        <w:r w:rsidRPr="00DE0243">
          <w:rPr>
            <w:rStyle w:val="Hyperlink"/>
            <w:rFonts w:asciiTheme="majorBidi" w:hAnsiTheme="majorBidi" w:cstheme="majorBidi"/>
            <w:b/>
            <w:bCs/>
            <w:sz w:val="18"/>
            <w:szCs w:val="18"/>
          </w:rPr>
          <w:t>Ahmedmsamir54@gmail.com</w:t>
        </w:r>
      </w:hyperlink>
    </w:p>
    <w:p w:rsidR="0023354C" w:rsidRPr="00426F7E" w:rsidRDefault="0023354C" w:rsidP="0023354C">
      <w:pPr>
        <w:tabs>
          <w:tab w:val="left" w:pos="4050"/>
        </w:tabs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:rsidR="0023354C" w:rsidRDefault="0023354C" w:rsidP="0023354C">
      <w:pPr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  <w:sectPr w:rsidR="0023354C" w:rsidSect="0023354C">
          <w:headerReference w:type="even" r:id="rId8"/>
          <w:pgSz w:w="11906" w:h="16838" w:code="9"/>
          <w:pgMar w:top="1135" w:right="1416" w:bottom="1276" w:left="1985" w:header="720" w:footer="720" w:gutter="0"/>
          <w:cols w:space="720"/>
          <w:titlePg/>
          <w:bidi/>
          <w:rtlGutter/>
          <w:docGrid w:linePitch="360"/>
        </w:sectPr>
      </w:pPr>
    </w:p>
    <w:p w:rsidR="0023354C" w:rsidRPr="0023354C" w:rsidRDefault="0023354C" w:rsidP="0023354C">
      <w:pPr>
        <w:jc w:val="center"/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</w:pPr>
      <w:r w:rsidRPr="0023354C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الخلاصة – هذا البحث يبحث فى </w:t>
      </w:r>
      <w:r w:rsidRPr="0023354C">
        <w:rPr>
          <w:rFonts w:asciiTheme="majorBidi" w:eastAsia="Calibri" w:hAnsiTheme="majorBidi" w:cstheme="majorBidi"/>
          <w:b/>
          <w:bCs/>
          <w:sz w:val="18"/>
          <w:szCs w:val="18"/>
          <w:rtl/>
        </w:rPr>
        <w:t>منهج ابن جني في كتابه (المحتسب)</w:t>
      </w:r>
    </w:p>
    <w:p w:rsidR="0023354C" w:rsidRPr="0023354C" w:rsidRDefault="0023354C" w:rsidP="0023354C">
      <w:pPr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</w:p>
    <w:p w:rsidR="0023354C" w:rsidRPr="0023354C" w:rsidRDefault="0023354C" w:rsidP="0023354C">
      <w:pPr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  <w:r w:rsidRPr="0023354C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الكلمات المفتاحية – </w:t>
      </w:r>
      <w:r w:rsidRPr="0023354C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المحتسب، الكتاب، عرض</w:t>
      </w:r>
    </w:p>
    <w:p w:rsidR="0023354C" w:rsidRPr="0023354C" w:rsidRDefault="0023354C" w:rsidP="0023354C">
      <w:pPr>
        <w:numPr>
          <w:ilvl w:val="0"/>
          <w:numId w:val="2"/>
        </w:numPr>
        <w:spacing w:after="200"/>
        <w:ind w:left="64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3354C">
        <w:rPr>
          <w:rFonts w:asciiTheme="majorBidi" w:hAnsiTheme="majorBidi" w:cstheme="majorBidi"/>
          <w:b/>
          <w:bCs/>
          <w:sz w:val="18"/>
          <w:szCs w:val="18"/>
          <w:rtl/>
        </w:rPr>
        <w:t>.المقدمة</w:t>
      </w:r>
    </w:p>
    <w:p w:rsidR="0023354C" w:rsidRPr="0023354C" w:rsidRDefault="0023354C" w:rsidP="0023354C">
      <w:pPr>
        <w:jc w:val="center"/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</w:pPr>
      <w:r w:rsidRPr="0023354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</w:t>
      </w:r>
      <w:r w:rsidRPr="0023354C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 </w:t>
      </w:r>
      <w:r w:rsidRPr="0023354C">
        <w:rPr>
          <w:rFonts w:asciiTheme="majorBidi" w:eastAsia="Calibri" w:hAnsiTheme="majorBidi" w:cstheme="majorBidi"/>
          <w:b/>
          <w:bCs/>
          <w:sz w:val="18"/>
          <w:szCs w:val="18"/>
          <w:rtl/>
        </w:rPr>
        <w:t>منهج ابن جني في كتابه (المحتسب)</w:t>
      </w:r>
    </w:p>
    <w:p w:rsidR="0023354C" w:rsidRPr="0023354C" w:rsidRDefault="0023354C" w:rsidP="0023354C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23354C" w:rsidRPr="0023354C" w:rsidRDefault="0023354C" w:rsidP="0023354C">
      <w:pPr>
        <w:numPr>
          <w:ilvl w:val="0"/>
          <w:numId w:val="3"/>
        </w:numPr>
        <w:spacing w:after="200"/>
        <w:ind w:left="73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23354C">
        <w:rPr>
          <w:rFonts w:asciiTheme="majorBidi" w:hAnsiTheme="majorBidi" w:cstheme="majorBidi"/>
          <w:b/>
          <w:bCs/>
          <w:sz w:val="18"/>
          <w:szCs w:val="18"/>
          <w:rtl/>
        </w:rPr>
        <w:t>.عنوان المقال</w:t>
      </w:r>
    </w:p>
    <w:p w:rsidR="0023354C" w:rsidRPr="0023354C" w:rsidRDefault="0023354C" w:rsidP="0023354C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pacing w:val="-2"/>
          <w:sz w:val="18"/>
          <w:szCs w:val="18"/>
          <w:lang w:bidi="ar-EG"/>
        </w:rPr>
      </w:pPr>
      <w:r w:rsidRPr="0023354C">
        <w:rPr>
          <w:rFonts w:ascii="Simplified Arabic" w:hAnsi="Simplified Arabic" w:cs="AL-Hotham"/>
          <w:b/>
          <w:bCs/>
          <w:spacing w:val="-2"/>
          <w:sz w:val="18"/>
          <w:szCs w:val="18"/>
          <w:rtl/>
        </w:rPr>
        <w:t>نتحدث عن منهج ابن جني لكتابه</w:t>
      </w:r>
      <w:r w:rsidRPr="0023354C">
        <w:rPr>
          <w:rFonts w:ascii="Simplified Arabic" w:hAnsi="Simplified Arabic" w:cs="AL-Hotham"/>
          <w:b/>
          <w:bCs/>
          <w:spacing w:val="-2"/>
          <w:sz w:val="18"/>
          <w:szCs w:val="18"/>
          <w:rtl/>
          <w:lang w:bidi="ar-EG"/>
        </w:rPr>
        <w:t xml:space="preserve"> (المحتسب)</w:t>
      </w:r>
      <w:r w:rsidRPr="0023354C">
        <w:rPr>
          <w:rFonts w:ascii="Simplified Arabic" w:hAnsi="Simplified Arabic" w:cs="AL-Hotham" w:hint="cs"/>
          <w:b/>
          <w:bCs/>
          <w:spacing w:val="-2"/>
          <w:sz w:val="18"/>
          <w:szCs w:val="18"/>
          <w:rtl/>
        </w:rPr>
        <w:t>؛</w:t>
      </w:r>
      <w:r w:rsidRPr="0023354C">
        <w:rPr>
          <w:rFonts w:ascii="Simplified Arabic" w:hAnsi="Simplified Arabic" w:cs="AL-Hotham"/>
          <w:b/>
          <w:bCs/>
          <w:spacing w:val="-2"/>
          <w:sz w:val="18"/>
          <w:szCs w:val="18"/>
          <w:rtl/>
        </w:rPr>
        <w:t xml:space="preserve"> وذلك لأن الكتاب</w:t>
      </w:r>
      <w:r w:rsidRPr="0023354C">
        <w:rPr>
          <w:rFonts w:ascii="Simplified Arabic" w:hAnsi="Simplified Arabic" w:cs="AL-Hotham"/>
          <w:b/>
          <w:bCs/>
          <w:spacing w:val="-2"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pacing w:val="-2"/>
          <w:sz w:val="18"/>
          <w:szCs w:val="18"/>
          <w:rtl/>
        </w:rPr>
        <w:t>له أهمية عظمى في عرض القراءات الشاذة، فبالأحرى أن نتحدث عن منهج ابن جني في هذا</w:t>
      </w:r>
      <w:r w:rsidRPr="0023354C">
        <w:rPr>
          <w:rFonts w:ascii="Simplified Arabic" w:hAnsi="Simplified Arabic" w:cs="AL-Hotham"/>
          <w:b/>
          <w:bCs/>
          <w:spacing w:val="-2"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pacing w:val="-2"/>
          <w:sz w:val="18"/>
          <w:szCs w:val="18"/>
          <w:rtl/>
        </w:rPr>
        <w:t>الكتاب العظيم، فنقول</w:t>
      </w:r>
      <w:r w:rsidRPr="0023354C">
        <w:rPr>
          <w:rFonts w:ascii="Simplified Arabic" w:hAnsi="Simplified Arabic" w:cs="AL-Hotham"/>
          <w:b/>
          <w:bCs/>
          <w:spacing w:val="-2"/>
          <w:sz w:val="18"/>
          <w:szCs w:val="18"/>
          <w:rtl/>
          <w:lang w:bidi="ar-EG"/>
        </w:rPr>
        <w:t>: "</w:t>
      </w:r>
      <w:r w:rsidRPr="0023354C">
        <w:rPr>
          <w:rFonts w:ascii="Simplified Arabic" w:hAnsi="Simplified Arabic" w:cs="AL-Hotham"/>
          <w:b/>
          <w:bCs/>
          <w:spacing w:val="-2"/>
          <w:sz w:val="18"/>
          <w:szCs w:val="18"/>
          <w:rtl/>
        </w:rPr>
        <w:t>لقد صدر ابن جني كتابه (المحتسب) بمقدم</w:t>
      </w:r>
      <w:r w:rsidRPr="0023354C">
        <w:rPr>
          <w:rFonts w:ascii="Simplified Arabic" w:hAnsi="Simplified Arabic" w:cs="AL-Hotham" w:hint="cs"/>
          <w:b/>
          <w:bCs/>
          <w:spacing w:val="-2"/>
          <w:sz w:val="18"/>
          <w:szCs w:val="18"/>
          <w:rtl/>
        </w:rPr>
        <w:t>ة</w:t>
      </w:r>
      <w:r w:rsidRPr="0023354C">
        <w:rPr>
          <w:rFonts w:ascii="Simplified Arabic" w:hAnsi="Simplified Arabic" w:cs="AL-Hotham"/>
          <w:b/>
          <w:bCs/>
          <w:spacing w:val="-2"/>
          <w:sz w:val="18"/>
          <w:szCs w:val="18"/>
          <w:rtl/>
        </w:rPr>
        <w:t xml:space="preserve"> موجزة، بيَّن فيها منهجه</w:t>
      </w:r>
      <w:r w:rsidRPr="0023354C">
        <w:rPr>
          <w:rFonts w:ascii="Simplified Arabic" w:hAnsi="Simplified Arabic" w:cs="AL-Hotham"/>
          <w:b/>
          <w:bCs/>
          <w:spacing w:val="-2"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pacing w:val="-2"/>
          <w:sz w:val="18"/>
          <w:szCs w:val="18"/>
          <w:rtl/>
        </w:rPr>
        <w:t>في النظر إلى القراءات، والغاية التي رمى إليها في كتابه، وأشار إلى صنيع من تقدمه في</w:t>
      </w:r>
      <w:r w:rsidRPr="0023354C">
        <w:rPr>
          <w:rFonts w:ascii="Simplified Arabic" w:hAnsi="Simplified Arabic" w:cs="AL-Hotham"/>
          <w:b/>
          <w:bCs/>
          <w:spacing w:val="-2"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pacing w:val="-2"/>
          <w:sz w:val="18"/>
          <w:szCs w:val="18"/>
          <w:rtl/>
        </w:rPr>
        <w:t>هذا الميدان، وإلى مصادره التي اعتمد عليها في اختيار قراءاته، ثم شرع بتوجيه الشواذ</w:t>
      </w:r>
      <w:r w:rsidRPr="0023354C">
        <w:rPr>
          <w:rFonts w:ascii="Simplified Arabic" w:hAnsi="Simplified Arabic" w:cs="AL-Hotham"/>
          <w:b/>
          <w:bCs/>
          <w:spacing w:val="-2"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pacing w:val="-2"/>
          <w:sz w:val="18"/>
          <w:szCs w:val="18"/>
          <w:rtl/>
        </w:rPr>
        <w:t xml:space="preserve">مبتدئًا بسورة </w:t>
      </w:r>
      <w:r w:rsidRPr="0023354C">
        <w:rPr>
          <w:rFonts w:ascii="Simplified Arabic" w:hAnsi="Simplified Arabic" w:cs="AL-Hotham" w:hint="cs"/>
          <w:b/>
          <w:bCs/>
          <w:spacing w:val="-2"/>
          <w:sz w:val="18"/>
          <w:szCs w:val="18"/>
          <w:rtl/>
        </w:rPr>
        <w:t>"</w:t>
      </w:r>
      <w:r w:rsidRPr="0023354C">
        <w:rPr>
          <w:rFonts w:ascii="Simplified Arabic" w:hAnsi="Simplified Arabic" w:cs="AL-Hotham"/>
          <w:b/>
          <w:bCs/>
          <w:spacing w:val="-2"/>
          <w:sz w:val="18"/>
          <w:szCs w:val="18"/>
          <w:rtl/>
        </w:rPr>
        <w:t>الفاتحة</w:t>
      </w:r>
      <w:r w:rsidRPr="0023354C">
        <w:rPr>
          <w:rFonts w:ascii="Simplified Arabic" w:hAnsi="Simplified Arabic" w:cs="AL-Hotham" w:hint="cs"/>
          <w:b/>
          <w:bCs/>
          <w:spacing w:val="-2"/>
          <w:sz w:val="18"/>
          <w:szCs w:val="18"/>
          <w:rtl/>
        </w:rPr>
        <w:t>"</w:t>
      </w:r>
      <w:r w:rsidRPr="0023354C">
        <w:rPr>
          <w:rFonts w:ascii="Simplified Arabic" w:hAnsi="Simplified Arabic" w:cs="AL-Hotham"/>
          <w:b/>
          <w:bCs/>
          <w:spacing w:val="-2"/>
          <w:sz w:val="18"/>
          <w:szCs w:val="18"/>
          <w:rtl/>
        </w:rPr>
        <w:t xml:space="preserve"> مختتمًا بسورة </w:t>
      </w:r>
      <w:r w:rsidRPr="0023354C">
        <w:rPr>
          <w:rFonts w:ascii="Simplified Arabic" w:hAnsi="Simplified Arabic" w:cs="AL-Hotham" w:hint="cs"/>
          <w:b/>
          <w:bCs/>
          <w:spacing w:val="-2"/>
          <w:sz w:val="18"/>
          <w:szCs w:val="18"/>
          <w:rtl/>
        </w:rPr>
        <w:t>"</w:t>
      </w:r>
      <w:r w:rsidRPr="0023354C">
        <w:rPr>
          <w:rFonts w:ascii="Simplified Arabic" w:hAnsi="Simplified Arabic" w:cs="AL-Hotham"/>
          <w:b/>
          <w:bCs/>
          <w:spacing w:val="-2"/>
          <w:sz w:val="18"/>
          <w:szCs w:val="18"/>
          <w:rtl/>
        </w:rPr>
        <w:t>الناس</w:t>
      </w:r>
      <w:r w:rsidRPr="0023354C">
        <w:rPr>
          <w:rFonts w:ascii="Simplified Arabic" w:hAnsi="Simplified Arabic" w:cs="AL-Hotham" w:hint="cs"/>
          <w:b/>
          <w:bCs/>
          <w:spacing w:val="-2"/>
          <w:sz w:val="18"/>
          <w:szCs w:val="18"/>
          <w:rtl/>
        </w:rPr>
        <w:t>"</w:t>
      </w:r>
      <w:r w:rsidRPr="0023354C">
        <w:rPr>
          <w:rFonts w:ascii="Simplified Arabic" w:hAnsi="Simplified Arabic" w:cs="AL-Hotham"/>
          <w:b/>
          <w:bCs/>
          <w:spacing w:val="-2"/>
          <w:sz w:val="18"/>
          <w:szCs w:val="18"/>
          <w:rtl/>
          <w:lang w:bidi="ar-EG"/>
        </w:rPr>
        <w:t xml:space="preserve">. </w:t>
      </w:r>
    </w:p>
    <w:p w:rsidR="0023354C" w:rsidRPr="0023354C" w:rsidRDefault="0023354C" w:rsidP="0023354C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كذلك أورد أبو الفتح القراءات مرتبة حسب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مواقعها في كل سورة، وكان يبدأ حديثه في كل مرة بإثبات أسماء القراء، كثرًا كانوا أم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قلة، ثم يذكر القراءة، مثال ذلك: ومن ذلك قراءة الحسن، وأبي رجاء، وقتادة،</w:t>
      </w:r>
      <w:r w:rsidRPr="0023354C">
        <w:rPr>
          <w:rFonts w:ascii="Simplified Arabic" w:hAnsi="Simplified Arabic" w:cs="AL-Hotham" w:hint="cs"/>
          <w:b/>
          <w:bCs/>
          <w:sz w:val="18"/>
          <w:szCs w:val="18"/>
          <w:rtl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وسلام ويعقوب،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وعبد الله بن يزيد، والأعمش، والهمذاني، ونادرًا ما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يغفل اسم القارئ، وذلك لعدم معرفته إياه،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وهو يرتب عادة أسماء القراء حسب تقدمهم،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ولكنه لا يدقق في سنوات وفياتهم؛ 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ففي المثال السابق مثلًا نرى أن الحسن البصري قد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توفي سنة مائة وعشر، وأبا رجاء العطاردي سنة مائة وخمسة،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وقتادة بن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دعامة سنة 117،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وسلام بن سليمان الطويل 171، ويعقوب بن إسحاق البصري سنة 205، وعبد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الله بن يزيد سنة 213، وهو يرتبهم أيضًا حسب مواطنهم، فهؤلاء جميعًا بصريون، وقد قدم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ذكرهم على كل من الكوفيين الأعمش، وعيسى بن عمر الهمذاني، فضلًا عن ذلك فهو دقيق في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تحديد القراءات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23354C" w:rsidRPr="0023354C" w:rsidRDefault="0023354C" w:rsidP="0023354C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فهذه القراءة قد قرأ، وتلك رواية، وهذه قراءة متفق على نسبتها إلى فلان، وتلك مختلف في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نسبتها إليه، وكانت عبارته السائدة في الإشارة إلى هذا الاختلاف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وقرأ فلان بخلاف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".</w:t>
      </w:r>
    </w:p>
    <w:p w:rsidR="0023354C" w:rsidRPr="0023354C" w:rsidRDefault="0023354C" w:rsidP="0023354C">
      <w:pPr>
        <w:pStyle w:val="NormalWeb"/>
        <w:bidi/>
        <w:spacing w:before="0" w:beforeAutospacing="0"/>
        <w:jc w:val="lowKashida"/>
        <w:rPr>
          <w:rFonts w:ascii="Simplified Arabic" w:hAnsi="Simplified Arabic" w:cs="AL-Hotham" w:hint="cs"/>
          <w:b/>
          <w:bCs/>
          <w:sz w:val="18"/>
          <w:szCs w:val="18"/>
          <w:rtl/>
        </w:rPr>
      </w:pP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مصادره في إيراد الشواذ:</w:t>
      </w:r>
    </w:p>
    <w:p w:rsidR="0023354C" w:rsidRPr="0023354C" w:rsidRDefault="0023354C" w:rsidP="0023354C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ذكر ابن جني في مقدمة (المحتسب) أن مصادره في الشواذ نوعان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</w:t>
      </w:r>
    </w:p>
    <w:p w:rsidR="0023354C" w:rsidRPr="0023354C" w:rsidRDefault="0023354C" w:rsidP="0023354C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النوع الأول: كتب استقى منها معظم القراءات، وروايات صح طريقها من رواية غيره له. أما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الكتب فهي: كتاب أبي علي محمد بن المستنير قطرب المتوفى سنة 206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، </w:t>
      </w:r>
      <w:r w:rsidRPr="0023354C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كتاب (معاني القرآن)</w:t>
      </w:r>
      <w:r w:rsidRPr="0023354C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للفراء المتوفى سنة 207، كتاب أبي حاتم سهل بن محمد بن عثمان السجستاني المتوفى سنة</w:t>
      </w:r>
      <w:r w:rsidRPr="0023354C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250</w:t>
      </w:r>
      <w:r w:rsidRPr="0023354C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، كتاب (معاني القرآن) للزجاج المتوفى سنة 310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، كتاب أبي بكر أحمد بن موسى بن مجاهد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المتوفى سنة 324 الذي صنفه في القراءات الشاذة عن القراءات السبعة، قال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على أننا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ننحى فيه كتاب أبي بكر أحمد بن موسى بن مجاهد الذي وضعه لذكر الشواذ من القراءة؛ إذ كان موسومًا به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إلى أن قال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وإذ هو أثبت في النفس من كثير من الشواذ المحكية عن من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ليس له روايته، ولا توفيقه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".</w:t>
      </w:r>
    </w:p>
    <w:p w:rsidR="0023354C" w:rsidRPr="0023354C" w:rsidRDefault="0023354C" w:rsidP="0023354C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pacing w:val="-4"/>
          <w:sz w:val="18"/>
          <w:szCs w:val="18"/>
          <w:lang w:bidi="ar-EG"/>
        </w:rPr>
      </w:pP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lastRenderedPageBreak/>
        <w:t>النوع الثاني من أنواع المصادر في إيراد الشواذ في كتاب (المحتسب): الاعتماد على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الروايات، أما الروايات فيصفها ابن جني بقوله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>: "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ونحن نورد ذلك على ما رويناه، ثم على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ما صح عندنا من رواية غيرنا له، لا نأل</w:t>
      </w:r>
      <w:r w:rsidRPr="0023354C">
        <w:rPr>
          <w:rFonts w:ascii="Simplified Arabic" w:hAnsi="Simplified Arabic" w:cs="AL-Hotham" w:hint="cs"/>
          <w:b/>
          <w:bCs/>
          <w:spacing w:val="-4"/>
          <w:sz w:val="18"/>
          <w:szCs w:val="18"/>
          <w:rtl/>
        </w:rPr>
        <w:t>و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 xml:space="preserve"> فيه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ما تقتضيه حال مثله من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تأدية أمانته، وتحري الصحة في روايته،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ولعل ابن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جني قد اعتمد أيضًا على كتاب ابن خالويه (مختصر في شواذ القرآن</w:t>
      </w:r>
      <w:r w:rsidRPr="0023354C">
        <w:rPr>
          <w:rFonts w:ascii="Simplified Arabic" w:hAnsi="Simplified Arabic" w:cs="AL-Hotham" w:hint="cs"/>
          <w:b/>
          <w:bCs/>
          <w:spacing w:val="-4"/>
          <w:sz w:val="18"/>
          <w:szCs w:val="18"/>
          <w:rtl/>
        </w:rPr>
        <w:t>)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، وذلك لأن ابن خالويه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جمع القراءات الشاذة قبل ابن جني في هذا الكتاب، ولأن معظم قراءات المختصر هي في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كتاب (المحتسب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>).</w:t>
      </w:r>
    </w:p>
    <w:p w:rsidR="0023354C" w:rsidRPr="0023354C" w:rsidRDefault="0023354C" w:rsidP="0023354C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pacing w:val="-4"/>
          <w:sz w:val="18"/>
          <w:szCs w:val="18"/>
          <w:lang w:bidi="ar-EG"/>
        </w:rPr>
      </w:pP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نتحدث عن موقف ابن جني من القراءات القرآنية الأخرى،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وغيرها من الأحاديث وكلام العرب شعره، ونثره، والقياس، فنقول: لم يغفل ابن جني أهمية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القراءات القرآنية الأخرى في احتجاجه للشواذ، فقد جعلها متواترة ومشهورة، وشاذة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مصدرًا آخر من مصادره الأساسية، ولكنها لم ترقَ عنده إلى أهمية رواية حفص عن عاصم، وإن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كانت في بعض الأحيان أدلة رئيسة لما يذهب إليه</w:t>
      </w:r>
      <w:r w:rsidRPr="0023354C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>.</w:t>
      </w:r>
    </w:p>
    <w:p w:rsidR="0023354C" w:rsidRPr="0023354C" w:rsidRDefault="0023354C" w:rsidP="0023354C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</w:pP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فلنبدأ </w:t>
      </w:r>
      <w:r w:rsidRPr="0023354C">
        <w:rPr>
          <w:rFonts w:ascii="Simplified Arabic" w:hAnsi="Simplified Arabic" w:cs="AL-Hotham" w:hint="cs"/>
          <w:b/>
          <w:bCs/>
          <w:sz w:val="18"/>
          <w:szCs w:val="18"/>
          <w:rtl/>
        </w:rPr>
        <w:t>ب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موقفه من القراءات المتواترة:</w:t>
      </w:r>
    </w:p>
    <w:p w:rsidR="0023354C" w:rsidRPr="0023354C" w:rsidRDefault="0023354C" w:rsidP="0023354C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استعان أبو الفتح ابن جني ببعض القراءات المشهورة بالكشف عن بعض الشواذ، واتخذ منها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حجة أساسية تتقدم الشعر أحيانًا، وأيضًا تتقدم غير الشعر من الأساليب، من ذلك موقفه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من قراءة الحسن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قال هي عصاي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، فقد رأى أن كسر هذه الياء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قال هي عصايي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ضعيف، ولكنه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احتج لها بقراءة حمزة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وما أنتم بمصرخي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، ثم استشهد لها أيضًا ببيت من الشعر،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وغالبًا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ما يجعلها دلائل على ما يذهب إليه، من ذلك موقفه من قراءة يحيى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فيرى الذين في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قلوبهم مرض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، فهو يرى أن فاعل يرى مضمر دلت عليه الحال أي: فيرى رائيهم، ثم استدل عليها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بقراءة العامة قال: ودل عليه أيضًا القراءة العامة أي: فترى أنت يا محمد، أو يا حاضر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الحال الذين في قلوبهم مرض يسارعون في ولاء المشركين ونصرهم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23354C" w:rsidRPr="0023354C" w:rsidRDefault="0023354C" w:rsidP="0023354C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كما أنه قد يقتصر في استدلاله على معنى القراءة دون وجهها النحوي، وذلك لإيمانه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بتلاقي معاني القراءات فيما يريده التنزيل، فقد ذهب في قراءة السلمي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وكذلك زين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لكثير من المشركين قتل أولادهم شركاؤهم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إلا أن القراءة المشهورة تلاقيها في المعنى،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قال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وشاهده في المعنى قراءة الكافة، ألا ترى أن الشركاء هم المزينون لا محالة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يريد أن كلمة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شركاؤهم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فاعل لفعل محذوف تقديره زينه شركاؤهم، واستشهد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أيضًا ابن جني بمعاني كثيرة من المشهورات،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يدل على ذلك قراءة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الجماعة وشاهد القراءة الظاهرة، وغير ذلك من العبارات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23354C" w:rsidRPr="0023354C" w:rsidRDefault="0023354C" w:rsidP="0023354C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فالقراءة المتواترة عند ابن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جني حجة للقراءة الشاذة، ودليل على كثير من معانيها، وهذا يعود عند أبي الفتح إلى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الصلة القوية التي تربط بين القراءتين، وإلى تلاقيهما عند معنى التنزيل، وكأنه بذلك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يؤكد أن القراءات الشاذة لا تقل شأنًا في معانيها عن القراءات المتواترة التي فضلها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ابن مجاهد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23354C" w:rsidRPr="0023354C" w:rsidRDefault="0023354C" w:rsidP="0023354C">
      <w:pPr>
        <w:pStyle w:val="NormalWeb"/>
        <w:bidi/>
        <w:spacing w:before="0" w:beforeAutospacing="0"/>
        <w:jc w:val="lowKashida"/>
        <w:rPr>
          <w:rFonts w:ascii="Simplified Arabic" w:hAnsi="Simplified Arabic" w:cs="AL-Hotham" w:hint="cs"/>
          <w:b/>
          <w:bCs/>
          <w:sz w:val="18"/>
          <w:szCs w:val="18"/>
          <w:rtl/>
        </w:rPr>
      </w:pP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ثانيًا: موقفه من القراءات الشاذة:</w:t>
      </w:r>
    </w:p>
    <w:p w:rsidR="0023354C" w:rsidRPr="0023354C" w:rsidRDefault="0023354C" w:rsidP="0023354C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لقد جعل ابن جني أيضًا بعض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القراءات الشاذة ركنًا من أركان احتجاج،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فاستدل بما هو في حاجة إلى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الاستدلال، وهو يصدر عن إيمان عميق بقوة الشواذ، وعن قناعة بأن ما يفعله ليس إلا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مؤاخاة بين الأشباه والنظائر، لا توثيقًا للشواذ، أو تصحيحًا؛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فقد كان بعض ما احتج به من الشواذ مما احتج له، وبعضها الآخر غريبًا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عن اختياراته، وكان بعضها قراءات توافق رسم المصحف، وبعضها الآخر حروفًا مخالفة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23354C" w:rsidRPr="0023354C" w:rsidRDefault="0023354C" w:rsidP="0023354C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lastRenderedPageBreak/>
        <w:t>وقد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استطاع ابن جني أن يؤلف بين هذه القراءات جميعًا على تباعد صورها، واختلاف مواقعها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غير أنه أوضح هذا التأليف ما كان في بعضها من علاقة جدلية؛ حيث تفسر إحداهما الأخرى،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وترتبط معها ارتباطًا لا فكاك فيه،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ومثال ذلك قراءة عيسى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الثقفي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وقضينا إلى بني إسرائيل في الكتاب لتفسدُنَّ في الأرض مرتين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التي ربطها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بقراءة ابن عباس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لتفسدن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قال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إحدى هاتين القراءتين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شاهدة للأخرى؛ لأنهم إذا أفسدوا فقد فسدوا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".</w:t>
      </w:r>
    </w:p>
    <w:p w:rsidR="0023354C" w:rsidRPr="0023354C" w:rsidRDefault="0023354C" w:rsidP="0023354C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وقد يغير أبو الفتح موقع القراءة الشاذة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من قراءة تحتاج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إلى استدلال إلى قراءة يستدل بها على أخرى من جنسها، وهذا ما فعله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في قراءة بعضهم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إن الله لا يستحيي أن يضرب مثلًا ما بعوضة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، لقد احتج لحذف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العائد هو فيها بقراءة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ثم آتينا موسى الكتاب تمامًا على الذي أحسن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، ثم عاد فاحتج بها بقراءة أبي رجاء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وإن كل ذلك لما متاع الحياة الدنيا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، وقد يستدل بالقراءة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الشاذة على وجه من وجوه الشواذ من غير أن يكون مضطر</w:t>
      </w:r>
      <w:r w:rsidRPr="0023354C">
        <w:rPr>
          <w:rFonts w:ascii="Simplified Arabic" w:hAnsi="Simplified Arabic" w:cs="AL-Hotham" w:hint="cs"/>
          <w:b/>
          <w:bCs/>
          <w:sz w:val="18"/>
          <w:szCs w:val="18"/>
          <w:rtl/>
        </w:rPr>
        <w:t>ًّ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ا إلى هذا الاستدلال،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أو بل يأتي به عاضدًا حججه الأخرى، ففي قراءة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ابن مسعود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فوجدا فيها جدارا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يريد لينقض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، ذ ذهب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إلى أنه يجوز أن يكون اللام زائدة، وأن مضمرة بعدها، وذلك إذا احتججنا بقراءة النبي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يريد أن يُنقض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".</w:t>
      </w:r>
    </w:p>
    <w:p w:rsidR="0023354C" w:rsidRPr="0023354C" w:rsidRDefault="0023354C" w:rsidP="0023354C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وكان أبو الفتح يقدم هذه الشواذ في الاحتجاج على الشعر، ويلجأ إليها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أولًا إن وجدت، ثم يعطف عليها بعض الأساليب الأخرى، نذكر من ذلك موقفه من قراءة أبي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جعفر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إن كانت إلا صيحة واحدة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فقد استشهد لتأنيث الفعل الذي حضر فاعله بـ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إلا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فيه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بقراءة الحسن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فأصبحوا لا ترى إلا مساكنهم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، ثم عطف عليها قول ذي الرمة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807"/>
        <w:gridCol w:w="517"/>
        <w:gridCol w:w="1784"/>
      </w:tblGrid>
      <w:tr w:rsidR="0023354C" w:rsidRPr="0023354C" w:rsidTr="00064B76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23354C" w:rsidRPr="0023354C" w:rsidRDefault="0023354C" w:rsidP="0023354C">
            <w:pPr>
              <w:spacing w:after="120"/>
              <w:jc w:val="both"/>
              <w:rPr>
                <w:rFonts w:cs="AGA Furat Regular"/>
                <w:b/>
                <w:bCs/>
                <w:sz w:val="18"/>
                <w:szCs w:val="18"/>
                <w:rtl/>
              </w:rPr>
            </w:pPr>
            <w:r w:rsidRPr="0023354C">
              <w:rPr>
                <w:rFonts w:cs="AGA Furat Regular"/>
                <w:b/>
                <w:bCs/>
                <w:sz w:val="18"/>
                <w:szCs w:val="18"/>
                <w:rtl/>
              </w:rPr>
              <w:t>برى الن</w:t>
            </w:r>
            <w:r w:rsidRPr="0023354C">
              <w:rPr>
                <w:rFonts w:cs="AGA Furat Regular" w:hint="cs"/>
                <w:b/>
                <w:bCs/>
                <w:sz w:val="18"/>
                <w:szCs w:val="18"/>
                <w:rtl/>
              </w:rPr>
              <w:t>خر</w:t>
            </w:r>
            <w:r w:rsidRPr="0023354C">
              <w:rPr>
                <w:rFonts w:cs="AGA Furat Regular"/>
                <w:b/>
                <w:bCs/>
                <w:sz w:val="18"/>
                <w:szCs w:val="18"/>
                <w:rtl/>
              </w:rPr>
              <w:t xml:space="preserve"> والأجرا</w:t>
            </w:r>
            <w:r w:rsidRPr="0023354C">
              <w:rPr>
                <w:rFonts w:cs="AGA Furat Regular" w:hint="cs"/>
                <w:b/>
                <w:bCs/>
                <w:sz w:val="18"/>
                <w:szCs w:val="18"/>
                <w:rtl/>
              </w:rPr>
              <w:t>ز</w:t>
            </w:r>
            <w:r w:rsidRPr="0023354C">
              <w:rPr>
                <w:rFonts w:cs="AGA Furat Regular"/>
                <w:b/>
                <w:bCs/>
                <w:sz w:val="18"/>
                <w:szCs w:val="18"/>
                <w:rtl/>
              </w:rPr>
              <w:t xml:space="preserve"> ما في </w:t>
            </w:r>
            <w:r w:rsidRPr="0023354C">
              <w:rPr>
                <w:rFonts w:cs="AGA Furat Regular" w:hint="cs"/>
                <w:b/>
                <w:bCs/>
                <w:sz w:val="18"/>
                <w:szCs w:val="18"/>
                <w:rtl/>
              </w:rPr>
              <w:t>ع</w:t>
            </w:r>
            <w:r w:rsidRPr="0023354C">
              <w:rPr>
                <w:rFonts w:cs="AGA Furat Regular"/>
                <w:b/>
                <w:bCs/>
                <w:sz w:val="18"/>
                <w:szCs w:val="18"/>
                <w:rtl/>
              </w:rPr>
              <w:t>رو</w:t>
            </w:r>
            <w:r w:rsidRPr="0023354C">
              <w:rPr>
                <w:rFonts w:cs="AGA Furat Regular" w:hint="cs"/>
                <w:b/>
                <w:bCs/>
                <w:sz w:val="18"/>
                <w:szCs w:val="18"/>
                <w:rtl/>
              </w:rPr>
              <w:t>ض</w:t>
            </w:r>
            <w:r w:rsidRPr="0023354C">
              <w:rPr>
                <w:rFonts w:cs="AGA Furat Regular"/>
                <w:b/>
                <w:bCs/>
                <w:sz w:val="18"/>
                <w:szCs w:val="18"/>
                <w:rtl/>
              </w:rPr>
              <w:t>ها</w:t>
            </w:r>
            <w:r w:rsidRPr="0023354C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354C" w:rsidRPr="0023354C" w:rsidRDefault="0023354C" w:rsidP="0023354C">
            <w:pPr>
              <w:spacing w:after="120"/>
              <w:jc w:val="center"/>
              <w:rPr>
                <w:rFonts w:cs="AL-Hotham" w:hint="cs"/>
                <w:b/>
                <w:bCs/>
                <w:sz w:val="18"/>
                <w:szCs w:val="18"/>
                <w:rtl/>
              </w:rPr>
            </w:pPr>
            <w:r w:rsidRPr="0023354C">
              <w:rPr>
                <w:rFonts w:cs="AL-Hotham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23354C" w:rsidRPr="0023354C" w:rsidRDefault="0023354C" w:rsidP="0023354C">
            <w:pPr>
              <w:spacing w:after="120"/>
              <w:jc w:val="both"/>
              <w:rPr>
                <w:rFonts w:cs="AGA Furat Regular" w:hint="cs"/>
                <w:b/>
                <w:bCs/>
                <w:sz w:val="18"/>
                <w:szCs w:val="18"/>
                <w:rtl/>
              </w:rPr>
            </w:pPr>
            <w:r w:rsidRPr="0023354C">
              <w:rPr>
                <w:rFonts w:cs="AGA Furat Regular"/>
                <w:b/>
                <w:bCs/>
                <w:sz w:val="18"/>
                <w:szCs w:val="18"/>
                <w:rtl/>
              </w:rPr>
              <w:t>فما بقيت إلا الصدور الجراشع</w:t>
            </w:r>
            <w:r w:rsidRPr="0023354C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</w:tr>
    </w:tbl>
    <w:p w:rsidR="0023354C" w:rsidRPr="0023354C" w:rsidRDefault="0023354C" w:rsidP="0023354C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من كل هذا يتضح لنا ثقة ابن جني بالقراءات المشهورة والشاذة، وعودته إليها كلما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</w:rPr>
        <w:t>أحوجه المقام، وهي ثقة عالية لا تقل عن ثقته بقراءة حفص</w:t>
      </w:r>
      <w:r w:rsidRPr="0023354C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23354C" w:rsidRPr="0023354C" w:rsidRDefault="0023354C" w:rsidP="0023354C">
      <w:pPr>
        <w:pStyle w:val="NormalWeb"/>
        <w:bidi/>
        <w:spacing w:before="0" w:beforeAutospacing="0" w:after="120" w:afterAutospacing="0"/>
        <w:jc w:val="center"/>
        <w:rPr>
          <w:rFonts w:ascii="Simplified Arabic" w:hAnsi="Simplified Arabic" w:cs="AL-Hotham" w:hint="cs"/>
          <w:b/>
          <w:bCs/>
          <w:sz w:val="18"/>
          <w:szCs w:val="18"/>
          <w:rtl/>
        </w:rPr>
      </w:pPr>
    </w:p>
    <w:p w:rsidR="0023354C" w:rsidRPr="0023354C" w:rsidRDefault="0023354C" w:rsidP="0023354C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23354C" w:rsidRPr="0023354C" w:rsidRDefault="0023354C" w:rsidP="0023354C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23354C" w:rsidRPr="0023354C" w:rsidRDefault="0023354C" w:rsidP="0023354C">
      <w:pPr>
        <w:jc w:val="lowKashida"/>
        <w:rPr>
          <w:rFonts w:asciiTheme="majorBidi" w:hAnsiTheme="majorBidi" w:cstheme="majorBidi" w:hint="cs"/>
          <w:b/>
          <w:bCs/>
          <w:sz w:val="18"/>
          <w:szCs w:val="18"/>
        </w:rPr>
      </w:pPr>
      <w:r w:rsidRPr="0023354C">
        <w:rPr>
          <w:rFonts w:asciiTheme="majorBidi" w:hAnsiTheme="majorBidi" w:cstheme="majorBidi" w:hint="cs"/>
          <w:b/>
          <w:bCs/>
          <w:sz w:val="18"/>
          <w:szCs w:val="18"/>
          <w:rtl/>
        </w:rPr>
        <w:t>المراجع والمصادر</w:t>
      </w:r>
    </w:p>
    <w:p w:rsidR="0023354C" w:rsidRPr="0023354C" w:rsidRDefault="0023354C" w:rsidP="0023354C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23354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(المحتسب في تبيين وجوه شواذ القراءات والإيضاح عنها) </w:t>
      </w:r>
    </w:p>
    <w:p w:rsidR="0023354C" w:rsidRPr="0023354C" w:rsidRDefault="0023354C" w:rsidP="0023354C">
      <w:pPr>
        <w:ind w:left="46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23354C">
        <w:rPr>
          <w:rFonts w:asciiTheme="majorBidi" w:hAnsiTheme="majorBidi" w:cstheme="majorBidi"/>
          <w:b/>
          <w:bCs/>
          <w:sz w:val="18"/>
          <w:szCs w:val="18"/>
          <w:rtl/>
        </w:rPr>
        <w:t>أبو الفتح عثمان بن جني،  بتحقيق علي النجدي ناصف وزميليه، القاهرة، طبعة المجلس الأعلى للشئون الإسلامية، 1994م</w:t>
      </w:r>
    </w:p>
    <w:p w:rsidR="0023354C" w:rsidRPr="0023354C" w:rsidRDefault="0023354C" w:rsidP="0023354C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23354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(مرشد الأعزة في بيان موقف العلماء من القراءات الشاذة) </w:t>
      </w:r>
    </w:p>
    <w:p w:rsidR="0023354C" w:rsidRPr="0023354C" w:rsidRDefault="0023354C" w:rsidP="0023354C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23354C">
        <w:rPr>
          <w:rFonts w:asciiTheme="majorBidi" w:hAnsiTheme="majorBidi" w:cstheme="majorBidi"/>
          <w:b/>
          <w:bCs/>
          <w:sz w:val="18"/>
          <w:szCs w:val="18"/>
          <w:rtl/>
        </w:rPr>
        <w:t>عبد الكريم إبراهيم صالح،  دار المحدثين, 2006م</w:t>
      </w:r>
    </w:p>
    <w:p w:rsidR="0023354C" w:rsidRPr="0023354C" w:rsidRDefault="0023354C" w:rsidP="0023354C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23354C">
        <w:rPr>
          <w:rFonts w:asciiTheme="majorBidi" w:hAnsiTheme="majorBidi" w:cstheme="majorBidi"/>
          <w:b/>
          <w:bCs/>
          <w:sz w:val="18"/>
          <w:szCs w:val="18"/>
        </w:rPr>
        <w:t>)</w:t>
      </w:r>
      <w:r w:rsidRPr="0023354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إعراب القراءات الشواذ) </w:t>
      </w:r>
    </w:p>
    <w:p w:rsidR="0023354C" w:rsidRPr="0023354C" w:rsidRDefault="0023354C" w:rsidP="0023354C">
      <w:pPr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23354C">
        <w:rPr>
          <w:rFonts w:asciiTheme="majorBidi" w:hAnsiTheme="majorBidi" w:cstheme="majorBidi"/>
          <w:b/>
          <w:bCs/>
          <w:sz w:val="18"/>
          <w:szCs w:val="18"/>
          <w:rtl/>
        </w:rPr>
        <w:t>أبو البقاء العكبري،  بتحقيق محمد السيد أحمد عزوز،  عالم الكتب, 1996م</w:t>
      </w:r>
    </w:p>
    <w:p w:rsidR="0023354C" w:rsidRPr="0023354C" w:rsidRDefault="0023354C" w:rsidP="0023354C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23354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(الاختلاف بين القراءات) </w:t>
      </w:r>
    </w:p>
    <w:p w:rsidR="0023354C" w:rsidRPr="0023354C" w:rsidRDefault="0023354C" w:rsidP="0023354C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23354C">
        <w:rPr>
          <w:rFonts w:asciiTheme="majorBidi" w:hAnsiTheme="majorBidi" w:cstheme="majorBidi"/>
          <w:b/>
          <w:bCs/>
          <w:sz w:val="18"/>
          <w:szCs w:val="18"/>
          <w:rtl/>
        </w:rPr>
        <w:t>أحمد البيلي،  بيروت، دار الجبل، 1988م</w:t>
      </w:r>
    </w:p>
    <w:p w:rsidR="0023354C" w:rsidRPr="0023354C" w:rsidRDefault="0023354C" w:rsidP="0023354C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23354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النحوي) </w:t>
      </w:r>
    </w:p>
    <w:p w:rsidR="0023354C" w:rsidRPr="0023354C" w:rsidRDefault="0023354C" w:rsidP="0023354C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23354C">
        <w:rPr>
          <w:rFonts w:asciiTheme="majorBidi" w:hAnsiTheme="majorBidi" w:cstheme="majorBidi"/>
          <w:b/>
          <w:bCs/>
          <w:sz w:val="18"/>
          <w:szCs w:val="18"/>
          <w:rtl/>
        </w:rPr>
        <w:t>محمود أحمد الصغير، بيروت، دار الفكر المعاصر, 1999م</w:t>
      </w:r>
    </w:p>
    <w:p w:rsidR="0023354C" w:rsidRPr="0023354C" w:rsidRDefault="0023354C" w:rsidP="0023354C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23354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(كتاب المصاحف) </w:t>
      </w:r>
    </w:p>
    <w:p w:rsidR="0023354C" w:rsidRPr="0023354C" w:rsidRDefault="0023354C" w:rsidP="0023354C">
      <w:pPr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23354C">
        <w:rPr>
          <w:rFonts w:asciiTheme="majorBidi" w:hAnsiTheme="majorBidi" w:cstheme="majorBidi"/>
          <w:b/>
          <w:bCs/>
          <w:sz w:val="18"/>
          <w:szCs w:val="18"/>
          <w:rtl/>
        </w:rPr>
        <w:t>أبو بكر عبد الله بن أبي داود سليمان بن الأشعث السجستاني، بيروت، دار الكتب العلمية, 1985م</w:t>
      </w:r>
    </w:p>
    <w:p w:rsidR="0023354C" w:rsidRPr="0023354C" w:rsidRDefault="0023354C" w:rsidP="0023354C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23354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(مختصر في شواذ القران من كتاب البديع أو القراءات الشاذة) </w:t>
      </w:r>
    </w:p>
    <w:p w:rsidR="0023354C" w:rsidRPr="0023354C" w:rsidRDefault="0023354C" w:rsidP="0023354C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23354C">
        <w:rPr>
          <w:rFonts w:asciiTheme="majorBidi" w:hAnsiTheme="majorBidi" w:cstheme="majorBidi"/>
          <w:b/>
          <w:bCs/>
          <w:sz w:val="18"/>
          <w:szCs w:val="18"/>
          <w:rtl/>
        </w:rPr>
        <w:t>الحسين بن احمد ابن خالويه، دار الهجرة،  1934م</w:t>
      </w:r>
    </w:p>
    <w:p w:rsidR="0023354C" w:rsidRPr="0023354C" w:rsidRDefault="0023354C" w:rsidP="0023354C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23354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القرآنية في بلاد الشام) </w:t>
      </w:r>
    </w:p>
    <w:p w:rsidR="0023354C" w:rsidRPr="0023354C" w:rsidRDefault="0023354C" w:rsidP="0023354C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23354C">
        <w:rPr>
          <w:rFonts w:asciiTheme="majorBidi" w:hAnsiTheme="majorBidi" w:cstheme="majorBidi"/>
          <w:b/>
          <w:bCs/>
          <w:sz w:val="18"/>
          <w:szCs w:val="18"/>
          <w:rtl/>
        </w:rPr>
        <w:t>حسين عطوان، بيروت، دار الجيل, 1982م</w:t>
      </w:r>
    </w:p>
    <w:p w:rsidR="0023354C" w:rsidRPr="0023354C" w:rsidRDefault="0023354C" w:rsidP="0023354C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23354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من لغة العرب) </w:t>
      </w:r>
    </w:p>
    <w:p w:rsidR="0023354C" w:rsidRPr="0023354C" w:rsidRDefault="0023354C" w:rsidP="0023354C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23354C">
        <w:rPr>
          <w:rFonts w:asciiTheme="majorBidi" w:hAnsiTheme="majorBidi" w:cstheme="majorBidi"/>
          <w:b/>
          <w:bCs/>
          <w:sz w:val="18"/>
          <w:szCs w:val="18"/>
          <w:rtl/>
        </w:rPr>
        <w:t>عبد الفتاح القاضي، الهيئة العامة لشئون المطابع الأميرية، 1975م</w:t>
      </w:r>
    </w:p>
    <w:p w:rsidR="0023354C" w:rsidRPr="0023354C" w:rsidRDefault="0023354C" w:rsidP="0023354C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23354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(اليزيدي القارئ النحوي دراسة نحوية قرآنية) </w:t>
      </w:r>
    </w:p>
    <w:p w:rsidR="0023354C" w:rsidRPr="0023354C" w:rsidRDefault="0023354C" w:rsidP="0023354C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23354C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 ،  دار الحسين الإسلامية, 1989م.</w:t>
      </w:r>
    </w:p>
    <w:p w:rsidR="0023354C" w:rsidRPr="0023354C" w:rsidRDefault="0023354C" w:rsidP="0023354C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23354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(شواهد القراءات بين ابن هشام وابن عقيل، دراسة نحوية تحليلية) </w:t>
      </w:r>
    </w:p>
    <w:p w:rsidR="0023354C" w:rsidRPr="0023354C" w:rsidRDefault="0023354C" w:rsidP="0023354C">
      <w:pPr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23354C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>محمد أحمد علي سحلول،  دار الطباعة المحمدية, 1993م</w:t>
      </w:r>
    </w:p>
    <w:p w:rsidR="0023354C" w:rsidRPr="0023354C" w:rsidRDefault="0023354C" w:rsidP="0023354C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23354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أبي السمال العدوي) </w:t>
      </w:r>
    </w:p>
    <w:p w:rsidR="0023354C" w:rsidRPr="0023354C" w:rsidRDefault="0023354C" w:rsidP="0023354C">
      <w:pPr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23354C">
        <w:rPr>
          <w:rFonts w:asciiTheme="majorBidi" w:hAnsiTheme="majorBidi" w:cstheme="majorBidi"/>
          <w:b/>
          <w:bCs/>
          <w:sz w:val="18"/>
          <w:szCs w:val="18"/>
          <w:rtl/>
        </w:rPr>
        <w:t>حمدي عبد الفتاح مصطفى خليل، الجريس، القاهرة, 2000م</w:t>
      </w:r>
    </w:p>
    <w:p w:rsidR="0023354C" w:rsidRPr="0023354C" w:rsidRDefault="0023354C" w:rsidP="0023354C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23354C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عبد الله بن مسعود مكانتها ومصادرها إحصاؤها) </w:t>
      </w:r>
    </w:p>
    <w:p w:rsidR="0023354C" w:rsidRPr="0023354C" w:rsidRDefault="0023354C" w:rsidP="0023354C">
      <w:pPr>
        <w:pStyle w:val="NormalWeb"/>
        <w:bidi/>
        <w:spacing w:before="0" w:beforeAutospacing="0" w:after="0" w:afterAutospacing="0"/>
        <w:ind w:left="284" w:firstLine="436"/>
        <w:jc w:val="both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23354C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محمد أحمد خاطر، دار الاعتصام, 1990م</w:t>
      </w:r>
    </w:p>
    <w:p w:rsidR="0023354C" w:rsidRPr="004832EA" w:rsidRDefault="0023354C" w:rsidP="0023354C">
      <w:pPr>
        <w:pStyle w:val="NormalWeb"/>
        <w:bidi/>
        <w:spacing w:before="0" w:beforeAutospacing="0" w:after="120" w:afterAutospacing="0" w:line="500" w:lineRule="exact"/>
        <w:jc w:val="center"/>
        <w:rPr>
          <w:rFonts w:ascii="Simplified Arabic" w:hAnsi="Simplified Arabic" w:cs="AL-Hotham"/>
          <w:b/>
          <w:bCs/>
          <w:sz w:val="32"/>
          <w:szCs w:val="32"/>
          <w:rtl/>
          <w:lang w:bidi="ar-EG"/>
        </w:rPr>
        <w:sectPr w:rsidR="0023354C" w:rsidRPr="004832EA" w:rsidSect="0023354C">
          <w:type w:val="continuous"/>
          <w:pgSz w:w="11906" w:h="16838" w:code="9"/>
          <w:pgMar w:top="1135" w:right="1416" w:bottom="1276" w:left="1985" w:header="720" w:footer="720" w:gutter="0"/>
          <w:cols w:num="2" w:space="720"/>
          <w:titlePg/>
          <w:bidi/>
          <w:rtlGutter/>
          <w:docGrid w:linePitch="360"/>
        </w:sectPr>
      </w:pPr>
    </w:p>
    <w:p w:rsidR="004219C3" w:rsidRPr="0023354C" w:rsidRDefault="004219C3">
      <w:pPr>
        <w:rPr>
          <w:lang w:bidi="ar-SA"/>
        </w:rPr>
      </w:pPr>
    </w:p>
    <w:sectPr w:rsidR="004219C3" w:rsidRPr="0023354C" w:rsidSect="004168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4E4" w:rsidRDefault="005F54E4" w:rsidP="0023354C">
      <w:r>
        <w:separator/>
      </w:r>
    </w:p>
  </w:endnote>
  <w:endnote w:type="continuationSeparator" w:id="1">
    <w:p w:rsidR="005F54E4" w:rsidRDefault="005F54E4" w:rsidP="00233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Granad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Hoth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Furat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4E4" w:rsidRDefault="005F54E4" w:rsidP="0023354C">
      <w:r>
        <w:separator/>
      </w:r>
    </w:p>
  </w:footnote>
  <w:footnote w:type="continuationSeparator" w:id="1">
    <w:p w:rsidR="005F54E4" w:rsidRDefault="005F54E4" w:rsidP="002335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54C" w:rsidRDefault="0023354C">
    <w:pPr>
      <w:pStyle w:val="Header"/>
    </w:pPr>
    <w:r>
      <w:rPr>
        <w:noProof/>
        <w:lang w:bidi="ar-SA"/>
      </w:rPr>
      <w:pict>
        <v:group id="_x0000_s1046" style="position:absolute;left:0;text-align:left;margin-left:3.5pt;margin-top:75.5pt;width:333.5pt;height:619.25pt;z-index:251658240" coordorigin="2625,2234" coordsize="6670,12385">
          <v:line id="_x0000_s1047" style="position:absolute" from="2648,14404" to="9269,14404" strokecolor="#95b3d7" strokeweight="1pt"/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8512;top:14165;width:754;height:454" fillcolor="#4f81bd" stroked="f">
            <v:fill color2="fill darken(118)" rotate="t" angle="-135" method="linear sigma" focus="100%" type="gradient"/>
            <v:shadow on="t" type="perspective" opacity=".5" origin=",.5" offset="0,0" matrix=",56756f,,.5"/>
            <v:textbox style="mso-next-textbox:#_x0000_s1048" inset="0,,0">
              <w:txbxContent>
                <w:p w:rsidR="0023354C" w:rsidRPr="00907733" w:rsidRDefault="0023354C" w:rsidP="005E730C">
                  <w:pPr>
                    <w:spacing w:line="280" w:lineRule="exact"/>
                    <w:jc w:val="center"/>
                    <w:rPr>
                      <w:rFonts w:cs="AL-Mateen" w:hint="cs"/>
                      <w:color w:val="FFFFFF"/>
                      <w:sz w:val="40"/>
                      <w:szCs w:val="40"/>
                      <w:rtl/>
                    </w:rPr>
                  </w:pPr>
                  <w:r w:rsidRPr="00907733">
                    <w:rPr>
                      <w:rStyle w:val="PageNumber"/>
                      <w:rFonts w:cs="AL-Mateen"/>
                      <w:color w:val="FFFFFF"/>
                      <w:sz w:val="40"/>
                      <w:szCs w:val="40"/>
                    </w:rPr>
                    <w:fldChar w:fldCharType="begin"/>
                  </w:r>
                  <w:r w:rsidRPr="00907733">
                    <w:rPr>
                      <w:rStyle w:val="PageNumber"/>
                      <w:rFonts w:cs="AL-Mateen"/>
                      <w:color w:val="FFFFFF"/>
                      <w:sz w:val="40"/>
                      <w:szCs w:val="40"/>
                    </w:rPr>
                    <w:instrText xml:space="preserve"> PAGE </w:instrText>
                  </w:r>
                  <w:r w:rsidRPr="00907733">
                    <w:rPr>
                      <w:rStyle w:val="PageNumber"/>
                      <w:rFonts w:cs="AL-Mateen"/>
                      <w:color w:val="FFFFFF"/>
                      <w:sz w:val="40"/>
                      <w:szCs w:val="40"/>
                    </w:rPr>
                    <w:fldChar w:fldCharType="separate"/>
                  </w:r>
                  <w:r>
                    <w:rPr>
                      <w:rStyle w:val="PageNumber"/>
                      <w:rFonts w:cs="AL-Mateen"/>
                      <w:noProof/>
                      <w:color w:val="FFFFFF"/>
                      <w:sz w:val="40"/>
                      <w:szCs w:val="40"/>
                      <w:rtl/>
                    </w:rPr>
                    <w:t>204</w:t>
                  </w:r>
                  <w:r w:rsidRPr="00907733">
                    <w:rPr>
                      <w:rStyle w:val="PageNumber"/>
                      <w:rFonts w:cs="AL-Mateen"/>
                      <w:color w:val="FFFFFF"/>
                      <w:sz w:val="40"/>
                      <w:szCs w:val="40"/>
                    </w:rPr>
                    <w:fldChar w:fldCharType="end"/>
                  </w:r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5305;top:2501;width:3969;height:0;flip:x" o:connectortype="straight" strokecolor="#95b3d7" strokeweight="1pt">
            <v:shadow type="perspective" color="#243f60" opacity=".5" offset="1pt" offset2="-3pt"/>
          </v:shape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0" type="#_x0000_t136" style="position:absolute;left:2625;top:2282;width:2551;height:397" fillcolor="#369" stroked="f">
            <v:shadow on="t" color="#b2b2b2" opacity="52429f" offset="1pt,0" offset2="-4pt,-4pt"/>
            <v:textpath style="font-family:&quot;Al-Mothnna&quot;;v-text-kern:t" trim="t" fitpath="t" string="القراءات الشاذة"/>
          </v:shape>
          <v:rect id="_x0000_s1051" style="position:absolute;left:7594;top:2234;width:1701;height:509" fillcolor="#4f81bd" strokecolor="#f2f2f2" strokeweight="1pt">
            <v:fill color2="#243f60" angle="-135" focusposition="1" focussize="" focus="100%" type="gradient"/>
            <v:shadow on="t" type="perspective" color="#b8cce4" opacity=".5" origin=",.5" offset="0,0" matrix=",56756f,,.5"/>
            <v:textbox style="mso-next-textbox:#_x0000_s1051">
              <w:txbxContent>
                <w:p w:rsidR="0023354C" w:rsidRPr="00E31343" w:rsidRDefault="0023354C" w:rsidP="005E730C">
                  <w:pPr>
                    <w:ind w:left="428"/>
                    <w:rPr>
                      <w:rFonts w:cs="AGA Granada Regular"/>
                      <w:color w:val="FFFFFF"/>
                      <w:sz w:val="36"/>
                      <w:szCs w:val="36"/>
                      <w:rtl/>
                    </w:rPr>
                  </w:pPr>
                </w:p>
              </w:txbxContent>
            </v:textbox>
          </v:rect>
          <v:shape id="_x0000_s1052" type="#_x0000_t136" style="position:absolute;left:7736;top:2330;width:1417;height:317" stroked="f">
            <v:shadow on="t" color="black" opacity="52429f" offset="1pt,0" offset2="-4pt,-4pt"/>
            <v:textpath style="font-family:&quot;AGA Granada Regular&quot;;v-text-kern:t" trim="t" fitpath="t" string="الدرس الثاني عشر"/>
          </v:shape>
          <w10:wrap anchorx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">
    <w:nsid w:val="54AF07C7"/>
    <w:multiLevelType w:val="hybridMultilevel"/>
    <w:tmpl w:val="3DB6F57A"/>
    <w:lvl w:ilvl="0" w:tplc="ED521654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3074"/>
    <o:shapelayout v:ext="edit">
      <o:idmap v:ext="edit" data="1"/>
      <o:rules v:ext="edit">
        <o:r id="V:Rule4" type="connector" idref="#_x0000_s1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3354C"/>
    <w:rsid w:val="001A2769"/>
    <w:rsid w:val="0023354C"/>
    <w:rsid w:val="004168A0"/>
    <w:rsid w:val="004219C3"/>
    <w:rsid w:val="004A286F"/>
    <w:rsid w:val="005F5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5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354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23354C"/>
    <w:pPr>
      <w:bidi w:val="0"/>
      <w:spacing w:before="100" w:beforeAutospacing="1" w:after="100" w:afterAutospacing="1"/>
    </w:pPr>
    <w:rPr>
      <w:lang w:bidi="ar-SA"/>
    </w:rPr>
  </w:style>
  <w:style w:type="paragraph" w:styleId="Header">
    <w:name w:val="header"/>
    <w:basedOn w:val="Normal"/>
    <w:link w:val="HeaderChar"/>
    <w:rsid w:val="002335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3354C"/>
    <w:rPr>
      <w:rFonts w:ascii="Times New Roman" w:eastAsia="Times New Roman" w:hAnsi="Times New Roman" w:cs="Times New Roman"/>
      <w:sz w:val="24"/>
      <w:szCs w:val="24"/>
      <w:lang w:bidi="ar-EG"/>
    </w:rPr>
  </w:style>
  <w:style w:type="character" w:styleId="PageNumber">
    <w:name w:val="page number"/>
    <w:basedOn w:val="DefaultParagraphFont"/>
    <w:rsid w:val="0023354C"/>
  </w:style>
  <w:style w:type="paragraph" w:styleId="Footer">
    <w:name w:val="footer"/>
    <w:basedOn w:val="Normal"/>
    <w:link w:val="FooterChar"/>
    <w:uiPriority w:val="99"/>
    <w:semiHidden/>
    <w:unhideWhenUsed/>
    <w:rsid w:val="002335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354C"/>
    <w:rPr>
      <w:rFonts w:ascii="Times New Roman" w:eastAsia="Times New Roman" w:hAnsi="Times New Roman" w:cs="Times New Roman"/>
      <w:sz w:val="24"/>
      <w:szCs w:val="24"/>
      <w:lang w:bidi="ar-EG"/>
    </w:rPr>
  </w:style>
  <w:style w:type="character" w:styleId="Hyperlink">
    <w:name w:val="Hyperlink"/>
    <w:basedOn w:val="DefaultParagraphFont"/>
    <w:uiPriority w:val="99"/>
    <w:unhideWhenUsed/>
    <w:rsid w:val="002335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hmedmsamir5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1189</Words>
  <Characters>6780</Characters>
  <Application>Microsoft Office Word</Application>
  <DocSecurity>0</DocSecurity>
  <Lines>56</Lines>
  <Paragraphs>15</Paragraphs>
  <ScaleCrop>false</ScaleCrop>
  <Company>Fannan</Company>
  <LinksUpToDate>false</LinksUpToDate>
  <CharactersWithSpaces>7954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Fannan NewLook V5</cp:lastModifiedBy>
  <cp:revision>1</cp:revision>
  <dcterms:created xsi:type="dcterms:W3CDTF">2013-06-16T15:06:00Z</dcterms:created>
  <dcterms:modified xsi:type="dcterms:W3CDTF">2013-06-16T15:12:00Z</dcterms:modified>
</cp:coreProperties>
</file>