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861" w:rsidRDefault="008F7861" w:rsidP="008F7861">
      <w:pPr>
        <w:spacing w:before="60"/>
        <w:jc w:val="center"/>
        <w:rPr>
          <w:rFonts w:asciiTheme="majorBidi" w:eastAsia="Calibri" w:hAnsiTheme="majorBidi" w:cstheme="majorBidi" w:hint="cs"/>
          <w:b/>
          <w:bCs/>
          <w:sz w:val="48"/>
          <w:szCs w:val="48"/>
          <w:rtl/>
        </w:rPr>
      </w:pPr>
      <w:r w:rsidRPr="008F7861">
        <w:rPr>
          <w:rFonts w:asciiTheme="majorBidi" w:eastAsia="Calibri" w:hAnsiTheme="majorBidi" w:cstheme="majorBidi" w:hint="cs"/>
          <w:b/>
          <w:bCs/>
          <w:sz w:val="48"/>
          <w:szCs w:val="48"/>
          <w:rtl/>
        </w:rPr>
        <w:t>مواقف النحاة في القرن الرابع</w:t>
      </w:r>
    </w:p>
    <w:p w:rsidR="008F7861" w:rsidRDefault="008F7861" w:rsidP="008F7861">
      <w:pPr>
        <w:jc w:val="lowKashida"/>
        <w:rPr>
          <w:rFonts w:asciiTheme="majorBidi" w:hAnsiTheme="majorBidi" w:cstheme="majorBidi" w:hint="cs"/>
          <w:b/>
          <w:bCs/>
          <w:sz w:val="18"/>
          <w:szCs w:val="18"/>
          <w:rtl/>
        </w:rPr>
      </w:pPr>
    </w:p>
    <w:p w:rsidR="008F7861" w:rsidRPr="00F7753E" w:rsidRDefault="008F7861" w:rsidP="008F7861">
      <w:pPr>
        <w:jc w:val="lowKashida"/>
        <w:rPr>
          <w:rFonts w:asciiTheme="majorBidi" w:hAnsiTheme="majorBidi" w:cstheme="majorBidi" w:hint="cs"/>
          <w:b/>
          <w:bCs/>
          <w:sz w:val="18"/>
          <w:szCs w:val="18"/>
          <w:rtl/>
        </w:rPr>
      </w:pPr>
    </w:p>
    <w:p w:rsidR="008F7861" w:rsidRPr="00F7753E" w:rsidRDefault="008F7861" w:rsidP="008F7861">
      <w:pPr>
        <w:jc w:val="lowKashida"/>
        <w:rPr>
          <w:rFonts w:asciiTheme="majorBidi" w:hAnsiTheme="majorBidi" w:cstheme="majorBidi" w:hint="cs"/>
          <w:b/>
          <w:bCs/>
          <w:sz w:val="18"/>
          <w:szCs w:val="18"/>
          <w:rtl/>
        </w:rPr>
      </w:pPr>
    </w:p>
    <w:p w:rsidR="008F7861" w:rsidRPr="00F7753E" w:rsidRDefault="008F7861" w:rsidP="008F7861">
      <w:pPr>
        <w:jc w:val="center"/>
        <w:rPr>
          <w:rFonts w:asciiTheme="majorBidi" w:eastAsia="Calibri" w:hAnsiTheme="majorBidi" w:cstheme="majorBidi"/>
          <w:sz w:val="18"/>
          <w:szCs w:val="18"/>
          <w:rtl/>
        </w:rPr>
      </w:pPr>
      <w:r w:rsidRPr="00F7753E">
        <w:rPr>
          <w:rFonts w:asciiTheme="majorBidi" w:hAnsiTheme="majorBidi" w:cstheme="majorBidi"/>
          <w:sz w:val="18"/>
          <w:szCs w:val="18"/>
          <w:rtl/>
        </w:rPr>
        <w:t xml:space="preserve">مبحث فى </w:t>
      </w:r>
      <w:r w:rsidRPr="00F7753E">
        <w:rPr>
          <w:rFonts w:asciiTheme="majorBidi" w:hAnsiTheme="majorBidi" w:cstheme="majorBidi" w:hint="cs"/>
          <w:sz w:val="18"/>
          <w:szCs w:val="18"/>
          <w:rtl/>
        </w:rPr>
        <w:t xml:space="preserve">علم </w:t>
      </w:r>
      <w:r w:rsidRPr="00F7753E">
        <w:rPr>
          <w:rFonts w:asciiTheme="majorBidi" w:eastAsia="Calibri" w:hAnsiTheme="majorBidi" w:cstheme="majorBidi" w:hint="cs"/>
          <w:sz w:val="18"/>
          <w:szCs w:val="18"/>
          <w:rtl/>
        </w:rPr>
        <w:t>القراءات الشاذه</w:t>
      </w:r>
    </w:p>
    <w:p w:rsidR="008F7861" w:rsidRPr="00426F7E" w:rsidRDefault="008F7861" w:rsidP="008F7861">
      <w:pPr>
        <w:jc w:val="center"/>
        <w:rPr>
          <w:rFonts w:asciiTheme="majorBidi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إعداد / أحمد محمد سمير</w:t>
      </w:r>
    </w:p>
    <w:p w:rsidR="008F7861" w:rsidRPr="00426F7E" w:rsidRDefault="008F7861" w:rsidP="008F7861">
      <w:pPr>
        <w:jc w:val="center"/>
        <w:rPr>
          <w:rFonts w:asciiTheme="majorBidi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قسم الدعوة وأصول الدين</w:t>
      </w:r>
    </w:p>
    <w:p w:rsidR="008F7861" w:rsidRPr="00426F7E" w:rsidRDefault="008F7861" w:rsidP="008F7861">
      <w:pPr>
        <w:jc w:val="center"/>
        <w:rPr>
          <w:rFonts w:asciiTheme="majorBidi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كلية العلوم الإسلامية – جامعة المدينة العالمية</w:t>
      </w:r>
    </w:p>
    <w:p w:rsidR="008F7861" w:rsidRPr="00426F7E" w:rsidRDefault="008F7861" w:rsidP="008F7861">
      <w:pPr>
        <w:jc w:val="center"/>
        <w:rPr>
          <w:rFonts w:asciiTheme="majorBidi" w:hAnsiTheme="majorBidi" w:cstheme="majorBidi"/>
          <w:sz w:val="18"/>
          <w:szCs w:val="18"/>
          <w:rtl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شاه علم - ماليزيا</w:t>
      </w:r>
    </w:p>
    <w:p w:rsidR="008F7861" w:rsidRDefault="008F7861" w:rsidP="008F7861">
      <w:pPr>
        <w:tabs>
          <w:tab w:val="left" w:pos="4050"/>
        </w:tabs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hyperlink r:id="rId5" w:history="1">
        <w:r w:rsidRPr="00DE0243">
          <w:rPr>
            <w:rStyle w:val="Hyperlink"/>
            <w:rFonts w:asciiTheme="majorBidi" w:hAnsiTheme="majorBidi" w:cstheme="majorBidi"/>
            <w:b/>
            <w:bCs/>
            <w:sz w:val="18"/>
            <w:szCs w:val="18"/>
          </w:rPr>
          <w:t>Ahmedmsamir54@gmail.com</w:t>
        </w:r>
      </w:hyperlink>
    </w:p>
    <w:p w:rsidR="008F7861" w:rsidRPr="00426F7E" w:rsidRDefault="008F7861" w:rsidP="008F7861">
      <w:pPr>
        <w:tabs>
          <w:tab w:val="left" w:pos="4050"/>
        </w:tabs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p w:rsidR="008F7861" w:rsidRDefault="008F7861" w:rsidP="008F7861">
      <w:pPr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  <w:sectPr w:rsidR="008F7861" w:rsidSect="008F7861">
          <w:pgSz w:w="11906" w:h="16838"/>
          <w:pgMar w:top="1440" w:right="849" w:bottom="568" w:left="1800" w:header="708" w:footer="708" w:gutter="0"/>
          <w:cols w:space="708"/>
          <w:bidi/>
          <w:rtlGutter/>
          <w:docGrid w:linePitch="360"/>
        </w:sectPr>
      </w:pPr>
    </w:p>
    <w:p w:rsidR="008F7861" w:rsidRPr="008F7861" w:rsidRDefault="008F7861" w:rsidP="008F7861">
      <w:pPr>
        <w:jc w:val="center"/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</w:pPr>
      <w:r w:rsidRPr="008F7861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 xml:space="preserve">الخلاصة – هذا البحث يبحث فى </w:t>
      </w:r>
      <w:r w:rsidRPr="008F7861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مواقف النحاة في القرن الرابع</w:t>
      </w:r>
    </w:p>
    <w:p w:rsidR="008F7861" w:rsidRPr="008F7861" w:rsidRDefault="008F7861" w:rsidP="008F7861">
      <w:pPr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</w:p>
    <w:p w:rsidR="008F7861" w:rsidRPr="008F7861" w:rsidRDefault="008F7861" w:rsidP="008F7861">
      <w:pPr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  <w:r w:rsidRPr="008F7861">
        <w:rPr>
          <w:rFonts w:asciiTheme="majorBidi" w:eastAsia="Calibri" w:hAnsiTheme="majorBidi" w:cstheme="majorBidi"/>
          <w:b/>
          <w:bCs/>
          <w:sz w:val="18"/>
          <w:szCs w:val="18"/>
          <w:rtl/>
        </w:rPr>
        <w:t xml:space="preserve">الكلمات المفتاحية – </w:t>
      </w:r>
      <w:r w:rsidRPr="008F7861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القرن، الرابع،النحاه</w:t>
      </w:r>
    </w:p>
    <w:p w:rsidR="008F7861" w:rsidRPr="008F7861" w:rsidRDefault="008F7861" w:rsidP="008F7861">
      <w:pPr>
        <w:numPr>
          <w:ilvl w:val="0"/>
          <w:numId w:val="2"/>
        </w:numPr>
        <w:spacing w:after="200"/>
        <w:ind w:left="643" w:hanging="9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8F7861">
        <w:rPr>
          <w:rFonts w:asciiTheme="majorBidi" w:hAnsiTheme="majorBidi" w:cstheme="majorBidi"/>
          <w:b/>
          <w:bCs/>
          <w:sz w:val="18"/>
          <w:szCs w:val="18"/>
          <w:rtl/>
        </w:rPr>
        <w:t>.المقدمة</w:t>
      </w:r>
    </w:p>
    <w:p w:rsidR="008F7861" w:rsidRPr="008F7861" w:rsidRDefault="008F7861" w:rsidP="008F7861">
      <w:pPr>
        <w:jc w:val="center"/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</w:pPr>
      <w:r w:rsidRPr="008F7861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</w:t>
      </w:r>
      <w:r w:rsidRPr="008F7861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مواقف النحاة في القرن الرابع</w:t>
      </w:r>
    </w:p>
    <w:p w:rsidR="008F7861" w:rsidRPr="008F7861" w:rsidRDefault="008F7861" w:rsidP="008F7861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8F7861" w:rsidRPr="008F7861" w:rsidRDefault="008F7861" w:rsidP="008F7861">
      <w:pPr>
        <w:numPr>
          <w:ilvl w:val="0"/>
          <w:numId w:val="3"/>
        </w:numPr>
        <w:spacing w:after="200"/>
        <w:ind w:left="733" w:hanging="9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8F7861">
        <w:rPr>
          <w:rFonts w:asciiTheme="majorBidi" w:hAnsiTheme="majorBidi" w:cstheme="majorBidi"/>
          <w:b/>
          <w:bCs/>
          <w:sz w:val="18"/>
          <w:szCs w:val="18"/>
          <w:rtl/>
        </w:rPr>
        <w:t>.عنوان المقال</w:t>
      </w:r>
    </w:p>
    <w:p w:rsidR="008F7861" w:rsidRPr="008F7861" w:rsidRDefault="008F7861" w:rsidP="008F7861">
      <w:pPr>
        <w:jc w:val="center"/>
        <w:rPr>
          <w:rFonts w:asciiTheme="majorBidi" w:eastAsia="Calibri" w:hAnsiTheme="majorBidi" w:cstheme="majorBidi"/>
          <w:b/>
          <w:bCs/>
          <w:sz w:val="18"/>
          <w:szCs w:val="18"/>
        </w:rPr>
      </w:pPr>
    </w:p>
    <w:p w:rsidR="008F7861" w:rsidRPr="008F7861" w:rsidRDefault="008F7861" w:rsidP="008F7861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نقف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في هذا القرن على مواقف عدد كبير من النحاة، وعلى جهود واضحة تميزت بالغنى والمباشرة؛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ذلك أن مصطلح الشذوذ قد أخذ يظهر في هذا القرن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8F7861" w:rsidRPr="008F7861" w:rsidRDefault="008F7861" w:rsidP="008F7861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أما النحاة فهم: أبو جعفر الطبري،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وأبو إسحاق الزجاج، وعلي بن سليمان الأخفش، وأبو بكر بن السراج، وأبو بكر بن مجاهد،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وأبو بكر الأنباري، وأبو إسحاق الزجاجي، وأبو جعفر النحاس، وأبو سعيد السيرافي، والحسين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بن خ</w:t>
      </w:r>
      <w:r w:rsidRPr="008F7861">
        <w:rPr>
          <w:rFonts w:ascii="Simplified Arabic" w:hAnsi="Simplified Arabic" w:cs="AL-Hotham" w:hint="cs"/>
          <w:b/>
          <w:bCs/>
          <w:sz w:val="18"/>
          <w:szCs w:val="18"/>
          <w:rtl/>
        </w:rPr>
        <w:t>ا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لويه، وأبو علي الفارسي، ومكي القيسي في كتابه (مشكل إعراب القرآن)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8F7861" w:rsidRPr="008F7861" w:rsidRDefault="008F7861" w:rsidP="008F7861">
      <w:pPr>
        <w:pStyle w:val="NormalWeb"/>
        <w:bidi/>
        <w:spacing w:before="0" w:before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الإمام الطبري: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</w:p>
    <w:p w:rsidR="008F7861" w:rsidRPr="008F7861" w:rsidRDefault="008F7861" w:rsidP="008F7861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أبو جعفر محمد بن جرير الطبري المتوفى سنة عشر بعد المائة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الثالثة، رفض أبو جعفر بشدة </w:t>
      </w:r>
      <w:r w:rsidRPr="008F7861">
        <w:rPr>
          <w:rFonts w:ascii="Simplified Arabic" w:hAnsi="Simplified Arabic" w:cs="Traditional Arabic"/>
          <w:b/>
          <w:bCs/>
          <w:sz w:val="18"/>
          <w:szCs w:val="18"/>
          <w:rtl/>
        </w:rPr>
        <w:t>-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كما رأينا</w:t>
      </w:r>
      <w:r w:rsidRPr="008F7861">
        <w:rPr>
          <w:rFonts w:ascii="Simplified Arabic" w:hAnsi="Simplified Arabic" w:cs="Traditional Arabic"/>
          <w:b/>
          <w:bCs/>
          <w:sz w:val="18"/>
          <w:szCs w:val="18"/>
          <w:rtl/>
        </w:rPr>
        <w:t>-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القراءة الشاذة، وهي كل قراءة خالفت الإجماع،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أو اختل فيها ركن الرسم، أو صحة العربية، أو كانت حرفًا مأثورًا، ولكنه لم يستطع أن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يدفعها دفعًا مطلقًا ينكرها فيه على أهله؛ لأنها كانت بالأمس قراءات لبعض الأئمة،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فحاول توجيهها، وإيجاد المخارج لها قال: وإن ما شذ من القراءات عما جاءت به الأمة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نقلًا ظاهرًا مستفيضًا، فرأيي للحق مخالف، وعن سبيل الله، وسبيل رسوله، وسبيل المسلمين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متجانف، وإن كان له في الصواب مخرج، وقد تعددت هذه المخارج لدى الطبري، فكان منها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التأويل، ومنها النظر في السند، ومنها الجانب النحوي، وعليه معولنا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8F7861" w:rsidRPr="008F7861" w:rsidRDefault="008F7861" w:rsidP="008F7861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كان الطبري على براعته في فن القراءات نحوي يحذق مذهب الكوفيين، ويجلب في إنائهم،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وينقل أقوالهم، ولا سيما أقوال الفراء، ويناقشه في بعضها، كما كان ينقل بعض آراء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البصريين، وله في ذلك كله اعتداده بنفسه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8F7861" w:rsidRPr="008F7861" w:rsidRDefault="008F7861" w:rsidP="008F7861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والقراءات الشاذة عند الإمام الطبري تقسم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كما هي لدى الفراء إلى ثلاثة أقسام: الحروف المأثورة عن الصحابة، والقراءات الأحادية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المخالفة للإجماع، والوجوه النحوية التي أجازها، ولم تبلغه قراءات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8F7861" w:rsidRPr="008F7861" w:rsidRDefault="008F7861" w:rsidP="008F7861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فأول هذه الأقسام الحروف المخالفة: وينعتها الإمام الطبري </w:t>
      </w:r>
      <w:r w:rsidRPr="008F7861">
        <w:rPr>
          <w:rFonts w:ascii="Simplified Arabic" w:hAnsi="Simplified Arabic" w:cs="Traditional Arabic"/>
          <w:b/>
          <w:bCs/>
          <w:sz w:val="18"/>
          <w:szCs w:val="18"/>
          <w:rtl/>
        </w:rPr>
        <w:t>-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كما الفراء</w:t>
      </w:r>
      <w:r w:rsidRPr="008F7861">
        <w:rPr>
          <w:rFonts w:ascii="Simplified Arabic" w:hAnsi="Simplified Arabic" w:cs="Traditional Arabic"/>
          <w:b/>
          <w:bCs/>
          <w:sz w:val="18"/>
          <w:szCs w:val="18"/>
          <w:rtl/>
        </w:rPr>
        <w:t>-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بالحرف حينًا، ويقرنها بأحد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المصاحف حينًا آخر، ويحددها حينًا بإحدى القراءتين، ويجعلها قراءة في أغلب الأحيان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8F7861" w:rsidRPr="008F7861" w:rsidRDefault="008F7861" w:rsidP="008F7861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ويغلب على أبي جعفر الطبري توجيهه لهذه الحروف على مذاهب العربية توجيهًا بسيطًا لا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كلفة فيه، من ذلك: توجيهه لحرف أبي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وآتينا داود زبورا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،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ورسل قد قصصناهم عليك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برفع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رسل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على أنه مرفوع بعائد الذكر من قوله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قصصنا عليك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، وهو رأي الفراء، ومذهب الكوفيين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في رفع مثل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رسل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، وما أكثر نقله عن الفراء في توجيه هذه الحروف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8F7861" w:rsidRPr="008F7861" w:rsidRDefault="008F7861" w:rsidP="008F7861">
      <w:pPr>
        <w:pStyle w:val="NormalWeb"/>
        <w:bidi/>
        <w:spacing w:before="0" w:beforeAutospacing="0" w:after="120" w:afterAutospacing="0"/>
        <w:jc w:val="both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lastRenderedPageBreak/>
        <w:t>وقد يستعين عليها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بآيات القرآن،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وهو يولي هذا الجانب عناية خاصة؛ لأن كتاب الله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عنده نزل بأفصح ألسن العرب، وهذه أيضًا مقولة الفراء، ومن ذلك: تخريجه لقراءة ابن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مسعود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قد بدا البغضاء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بقوله تعالى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: </w:t>
      </w:r>
      <w:r w:rsidRPr="008F7861">
        <w:rPr>
          <w:rFonts w:ascii="Simplified Arabic" w:hAnsi="Simplified Arabic" w:cs="DecoType Thuluth"/>
          <w:b/>
          <w:bCs/>
          <w:sz w:val="18"/>
          <w:szCs w:val="18"/>
          <w:rtl/>
          <w:lang w:bidi="ar-EG"/>
        </w:rPr>
        <w:t>{</w:t>
      </w:r>
      <w:r w:rsidRPr="008F7861">
        <w:rPr>
          <w:rFonts w:ascii="QCF_P229" w:hAnsi="QCF_P229" w:cs="QCF_P229"/>
          <w:b/>
          <w:bCs/>
          <w:sz w:val="18"/>
          <w:szCs w:val="18"/>
          <w:rtl/>
        </w:rPr>
        <w:t>ﮜ ﮝ ﮞ ﮟ</w:t>
      </w:r>
      <w:r w:rsidRPr="008F7861">
        <w:rPr>
          <w:rFonts w:ascii="QCF_P229" w:hAnsi="QCF_P229" w:cs="DecoType Thuluth"/>
          <w:b/>
          <w:bCs/>
          <w:sz w:val="18"/>
          <w:szCs w:val="18"/>
          <w:rtl/>
        </w:rPr>
        <w:t>}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[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هود: 67]؛ لأن الصيحة كالبغضاء، فكلاهما مصدر مؤنث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تأنيثًا لفظيًّا يجوز في فعله التذكير إذا تقدم، كما يستعين بالشعر، وهو جانب بارز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أيضًا في منهجه، من ذلك: تخريجه لقراءة ابن مسعود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وللظالمين أعد لهم عذاب</w:t>
      </w:r>
      <w:r w:rsidRPr="008F7861">
        <w:rPr>
          <w:rFonts w:ascii="Simplified Arabic" w:hAnsi="Simplified Arabic" w:cs="AL-Hotham" w:hint="cs"/>
          <w:b/>
          <w:bCs/>
          <w:sz w:val="18"/>
          <w:szCs w:val="18"/>
          <w:rtl/>
        </w:rPr>
        <w:t>ً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ا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على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تكرار حرف الجر اللام بقول الشاعر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996"/>
        <w:gridCol w:w="551"/>
        <w:gridCol w:w="1943"/>
      </w:tblGrid>
      <w:tr w:rsidR="008F7861" w:rsidRPr="008F7861" w:rsidTr="00064B76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8F7861" w:rsidRPr="008F7861" w:rsidRDefault="008F7861" w:rsidP="008F7861">
            <w:pPr>
              <w:spacing w:after="120"/>
              <w:jc w:val="both"/>
              <w:rPr>
                <w:rFonts w:cs="AGA Furat Regular"/>
                <w:b/>
                <w:bCs/>
                <w:sz w:val="18"/>
                <w:szCs w:val="18"/>
                <w:rtl/>
              </w:rPr>
            </w:pPr>
            <w:r w:rsidRPr="008F7861">
              <w:rPr>
                <w:rFonts w:cs="AGA Furat Regular"/>
                <w:b/>
                <w:bCs/>
                <w:sz w:val="18"/>
                <w:szCs w:val="18"/>
                <w:rtl/>
              </w:rPr>
              <w:t>فأصبحنا لا يسألنه عن بما به</w:t>
            </w:r>
            <w:r w:rsidRPr="008F7861">
              <w:rPr>
                <w:rFonts w:cs="AGA Furat Regular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7861" w:rsidRPr="008F7861" w:rsidRDefault="008F7861" w:rsidP="008F7861">
            <w:pPr>
              <w:spacing w:after="120"/>
              <w:jc w:val="center"/>
              <w:rPr>
                <w:rFonts w:cs="AL-Hotham" w:hint="cs"/>
                <w:b/>
                <w:bCs/>
                <w:sz w:val="18"/>
                <w:szCs w:val="18"/>
                <w:rtl/>
              </w:rPr>
            </w:pPr>
            <w:r w:rsidRPr="008F7861">
              <w:rPr>
                <w:rFonts w:cs="AL-Hotham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8F7861" w:rsidRPr="008F7861" w:rsidRDefault="008F7861" w:rsidP="008F7861">
            <w:pPr>
              <w:spacing w:after="120"/>
              <w:jc w:val="both"/>
              <w:rPr>
                <w:rFonts w:cs="AGA Furat Regular" w:hint="cs"/>
                <w:b/>
                <w:bCs/>
                <w:sz w:val="18"/>
                <w:szCs w:val="18"/>
                <w:rtl/>
              </w:rPr>
            </w:pPr>
            <w:r w:rsidRPr="008F7861">
              <w:rPr>
                <w:rFonts w:cs="AGA Furat Regular"/>
                <w:b/>
                <w:bCs/>
                <w:sz w:val="18"/>
                <w:szCs w:val="18"/>
                <w:rtl/>
              </w:rPr>
              <w:t>أصعد في غاوي الهوى أم تصوبا</w:t>
            </w:r>
            <w:r w:rsidRPr="008F7861">
              <w:rPr>
                <w:rFonts w:cs="AGA Furat Regular"/>
                <w:b/>
                <w:bCs/>
                <w:sz w:val="18"/>
                <w:szCs w:val="18"/>
                <w:rtl/>
              </w:rPr>
              <w:br/>
            </w:r>
          </w:p>
        </w:tc>
      </w:tr>
    </w:tbl>
    <w:p w:rsidR="008F7861" w:rsidRPr="008F7861" w:rsidRDefault="008F7861" w:rsidP="008F7861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بتكرار حرف الجر الباء عن بما به، وقد يلجأ الإمام الطبري إلى بعض لغات العرب؛ للكشف عن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وجوهها، على أن ذلك منقول في معظمه عن الفراء، فالطبري يعتد كثيرًا بهذه الحروف، ويوسع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لها، وإذا كان الفراء قد جعلها دليلًا على الوجوه المشهورة، فإن الطبري يجعلها من أدل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الدليل عليها، ولكن الفارق بين النحويين: أن الفراء لا ينص على خروجها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من دائرة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قرآن المسلمين، والطبري يفعل ذلك صراحة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8F7861" w:rsidRPr="008F7861" w:rsidRDefault="008F7861" w:rsidP="008F7861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 w:hint="cs"/>
          <w:b/>
          <w:bCs/>
          <w:sz w:val="18"/>
          <w:szCs w:val="18"/>
          <w:rtl/>
        </w:rPr>
      </w:pP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ثانيًا: القراءات الأحادية والمخالفة للإجماع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</w:t>
      </w:r>
    </w:p>
    <w:p w:rsidR="008F7861" w:rsidRPr="008F7861" w:rsidRDefault="008F7861" w:rsidP="008F7861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غلب على الطبري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في تخريجه لهذه القراءات الإيجاز في عرض الوجه النحوي، وإطلاق العبارات العامة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أحيانًا، فضلًا عن تركه لكثير منها بلا تخريج، وربما يعود ذلك إلى انهماكه في غربلة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القراءات، وتمييز الصحيح من الشاذ فيها، أو إلى سوء ظنه بالشواذ، وكأني به لا يرى فضلًا في بيان وجوهها ما دامت شاذة منكورة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8F7861" w:rsidRPr="008F7861" w:rsidRDefault="008F7861" w:rsidP="008F7861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فالطبري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يذكر كثيرًا من هذه القراءات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من غير أن يذكر وجهها النحوي، من ذلك: قراءة أبي جعفر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هيهات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هيهات لما توعدون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بالبناء على الكسر، وقد يكتفي بالقول في بعضها، وذلك وجه صحيح في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العربية، أو هي صحيحة في العربية فصيحة، أو وله وجه في العربية مفهوم من دون أن يبين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مستوى هذه الفصاحة، أو نوع تلك الصحة، ولكن الغالب عليه يورد لها وجهًا نحويًّا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بعبارة مقتضبة، كقوله في قراءة الحسن البصري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وإذ قال إبراهيم لأبيه آزرُ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بالرفع على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النداء، وقد استعان الإمام الطبري كما هو الأمر في الحروف في القرآن تارة، وبالشعر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أخرى، وبكلام العرب، نذكر من ذلك: احتجاجه بقراءة ابن وثاب، والأعمش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ولا يجرمنكم شنآن قوم إن يصدوكم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بلغة بعض قبائل العرب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أجرم، يجرم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،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وغلب على الطبري الاقتصار على وجه نحوي واحد كالفراء في بيان وجوه هذه القراءات،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وقلما تجاوزه إلى الوجهين، أو الثلاثة على نحو تخريجه لقراءة بعضها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8F7861" w:rsidRPr="008F7861" w:rsidRDefault="008F7861" w:rsidP="008F7861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شهرَ رمضان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بالنصب على المفعولية بفعل الصلة، وتقديره: وأن تصوموا شهر رمضان، وعلى المفعولية لفعل محذوف، وتقديره: شهر رمضان فصوموه، وعلى الظرفية، وتقديره: كتب عليكم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الصيام في شهر رمضان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8F7861" w:rsidRPr="008F7861" w:rsidRDefault="008F7861" w:rsidP="008F7861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ولم يكن أبو جعفر الطبري يسلم بوجوه هذه القراءات جميعًا، بل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كان يقف من بعضها موقف المعارضة إذا لم توافقه، فقد لحن قراءة بعضهم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ولكل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وجهة هو موليها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؛ لأن الخبر عنده تام؛ ولأن الكلام لا معنى له، فلا يعقل أن يكون من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كلام الله، كما لحن قراءة أبي جعفر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ليجزى قوما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، وأنكر أن تكون على مذاهب كلام العرب،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ووصف قراءة الحسن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لا ترى إلا مساكنهم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بالقبح، كما وصف غيرها بالرداءة، والبعد عن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الصحة، وحمل بعضها الآخر على ضرورة الشعر، ولعل هذا الموقف الرفضي منه طبيعي بالقياس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إلى موقفه من كثير من القراءات المعروفة التي أسهم ضعف وجهها النحوي عنده في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تشذيذها، وإخراجها من قرآن المسلمين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8F7861" w:rsidRPr="008F7861" w:rsidRDefault="008F7861" w:rsidP="008F7861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 w:hint="cs"/>
          <w:b/>
          <w:bCs/>
          <w:sz w:val="18"/>
          <w:szCs w:val="18"/>
          <w:rtl/>
          <w:lang w:bidi="ar-EG"/>
        </w:rPr>
      </w:pP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lastRenderedPageBreak/>
        <w:t>ثالثًا: الوجوه النحوية الجائزة في الآيات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</w:t>
      </w:r>
    </w:p>
    <w:p w:rsidR="008F7861" w:rsidRPr="008F7861" w:rsidRDefault="008F7861" w:rsidP="008F7861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نسج الطبري في هذا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المذهب على منوال النحاة قبله ممن اشتغل بالقرآن، ولا سيما الفراء،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ولكن هذا الجانب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لم يكن كبيرا في كتابه (التفسير) إذا ما قيس بجهود الأخير، فأبو جعفر </w:t>
      </w:r>
      <w:r w:rsidRPr="008F7861">
        <w:rPr>
          <w:rFonts w:ascii="Simplified Arabic" w:hAnsi="Simplified Arabic" w:cs="Traditional Arabic"/>
          <w:b/>
          <w:bCs/>
          <w:sz w:val="18"/>
          <w:szCs w:val="18"/>
          <w:rtl/>
        </w:rPr>
        <w:t>-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كما أسلفنا</w:t>
      </w:r>
      <w:r w:rsidRPr="008F7861">
        <w:rPr>
          <w:rFonts w:ascii="Simplified Arabic" w:hAnsi="Simplified Arabic" w:cs="Traditional Arabic"/>
          <w:b/>
          <w:bCs/>
          <w:sz w:val="18"/>
          <w:szCs w:val="18"/>
          <w:rtl/>
        </w:rPr>
        <w:t>-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لم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يكن نحويًّا خالصًا في كتابه، بل عالم قراءة يستعين بالنحو على إضاءة جوانبها، فقد كان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النحو عنده جزءًا من التفسير، يساعده على شرح وجوه التنزيل، وقد اتبع الطبري في هذه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الوجوه الطريقة ذاتها التي فسر بها القراءات من احتجاج، واستدلال، وكشف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8F7861" w:rsidRPr="008F7861" w:rsidRDefault="008F7861" w:rsidP="008F7861">
      <w:pPr>
        <w:pStyle w:val="NormalWeb"/>
        <w:bidi/>
        <w:spacing w:before="0" w:beforeAutospacing="0" w:after="120" w:afterAutospacing="0"/>
        <w:jc w:val="both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8F7861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نذكر من ذلك</w:t>
      </w:r>
      <w:r w:rsidRPr="008F7861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: </w:t>
      </w:r>
      <w:r w:rsidRPr="008F7861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إجازته للنصب في قوله تعالى</w:t>
      </w:r>
      <w:r w:rsidRPr="008F7861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: </w:t>
      </w:r>
      <w:r w:rsidRPr="008F7861">
        <w:rPr>
          <w:rFonts w:ascii="Simplified Arabic" w:hAnsi="Simplified Arabic" w:cs="DecoType Thuluth"/>
          <w:b/>
          <w:bCs/>
          <w:spacing w:val="-4"/>
          <w:sz w:val="18"/>
          <w:szCs w:val="18"/>
          <w:rtl/>
          <w:lang w:bidi="ar-EG"/>
        </w:rPr>
        <w:t>{</w:t>
      </w:r>
      <w:r w:rsidRPr="008F7861">
        <w:rPr>
          <w:rFonts w:ascii="QCF_P027" w:hAnsi="QCF_P027" w:cs="QCF_P027"/>
          <w:b/>
          <w:bCs/>
          <w:spacing w:val="-4"/>
          <w:sz w:val="18"/>
          <w:szCs w:val="18"/>
          <w:rtl/>
        </w:rPr>
        <w:t>ﮟ ﮠ</w:t>
      </w:r>
      <w:r w:rsidRPr="008F7861">
        <w:rPr>
          <w:rFonts w:ascii="QCF_P027" w:hAnsi="QCF_P027" w:cs="DecoType Thuluth"/>
          <w:b/>
          <w:bCs/>
          <w:spacing w:val="-4"/>
          <w:sz w:val="18"/>
          <w:szCs w:val="18"/>
          <w:rtl/>
        </w:rPr>
        <w:t>}</w:t>
      </w:r>
      <w:r w:rsidRPr="008F7861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[</w:t>
      </w:r>
      <w:r w:rsidRPr="008F7861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البقرة: 178]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، قال: لو كان التنزيل جاء بالنصب كان صحيحًا على وجه الأمر، كما يقال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: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ضربًا ضربًا، والنصب قراءة ابن أبي عبلة. على أن هذه الجهود النحوية التي بذلها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الطبري في تخريج الشواذ، وهذه الأشعار واللغات التي ساقها للكشف عنها لم تكن خالصة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له، بل كانت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في معظمها منقولة عن الفراء، فقد أغار أبو جعفر على كتاب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(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معاني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القرآن) ينهل منه القراءات والوجوه والآراء؛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حتى يخيل إلى المرء أنه قد ينقل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منه نقلًا،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فالتعليقات النحوية، والوجوه المختلفة، والحروف المخالفة، والطعن على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بعض القراءات، كل ذلك نجده في كتاب الفراء، ما خلا بعض الآراء النادرة التي صرح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بأخذها عن أهل البصرة، من نحو قوله في قراءة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أطهر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":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وكان بعض نحوي البصرة يقولون: هذا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لا يكون، وما عدا بعض الآراء الجديدة التي ناقش فيها الفراء، أو خالفه، من ذلك: أنه لم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يقبل قراءة زيد بن ثابت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فبذلك فلتفرحوا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التي أجازها الفراء؛ لأن دخول هذه اللام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في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رأيه لا يتكلم به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8F7861" w:rsidRPr="008F7861" w:rsidRDefault="008F7861" w:rsidP="008F7861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ولم يكن الطبري يشير إلى هذا المصدر إلا في قليل من المواضع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الثانوية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كأن يقول: وذكر الفراء أن بعض العرب أنشده متجاهلًا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نقل آرائه النحوية برمتها، بل كان يطمس عبارات الفراء بالتقديم والتأخير، أو إهمال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بعض الكلمات من غير أن يتخلى عن النحو، فقد قال الفراء في قراءة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إن الله هو الرزاق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ذو القوة المتين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بجر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المتين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ذهب إلى الحبل: هو الشيء المفتول، فقال الطبري: ذهب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بالقوة من قوى الحبل، والشيء المبرم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: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الفتل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8F7861" w:rsidRPr="008F7861" w:rsidRDefault="008F7861" w:rsidP="008F7861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 w:hint="cs"/>
          <w:b/>
          <w:bCs/>
          <w:sz w:val="18"/>
          <w:szCs w:val="18"/>
          <w:rtl/>
          <w:lang w:bidi="ar-EG"/>
        </w:rPr>
      </w:pP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لقد خرج الطبري القراءات الشاذة، واتبع في ذلك منهج الفراء في طرق الاحتجاج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والاستدلال، ولكنه لم يكن مثله يحسن الظن بها، بل تعصب عليها، ولعل هذا يعود إلى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قناعته بخروج هذه القراءات عن القرآن، على حين كان الفراء بمعزل عن هذه المصطلحات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lastRenderedPageBreak/>
        <w:t>والمقاييس، ولم يكن الطبري في جهوده نحويًّا كوفيًا بقدر ما كان رواية لآراء الكوفيين،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</w:rPr>
        <w:t>يهمل ذكر مصادره، ولا ينسبها إلى أصحابها</w:t>
      </w:r>
      <w:r w:rsidRPr="008F7861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8F7861" w:rsidRPr="008F7861" w:rsidRDefault="008F7861" w:rsidP="008F7861">
      <w:pPr>
        <w:jc w:val="lowKashida"/>
        <w:rPr>
          <w:rFonts w:asciiTheme="majorBidi" w:hAnsiTheme="majorBidi" w:cstheme="majorBidi" w:hint="cs"/>
          <w:b/>
          <w:bCs/>
          <w:sz w:val="18"/>
          <w:szCs w:val="18"/>
        </w:rPr>
      </w:pPr>
      <w:r w:rsidRPr="008F7861">
        <w:rPr>
          <w:rFonts w:asciiTheme="majorBidi" w:hAnsiTheme="majorBidi" w:cstheme="majorBidi" w:hint="cs"/>
          <w:b/>
          <w:bCs/>
          <w:sz w:val="18"/>
          <w:szCs w:val="18"/>
          <w:rtl/>
        </w:rPr>
        <w:t>المراجع والمصادر</w:t>
      </w:r>
    </w:p>
    <w:p w:rsidR="008F7861" w:rsidRPr="008F7861" w:rsidRDefault="008F7861" w:rsidP="008F7861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F7861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(المحتسب في تبيين وجوه شواذ القراءات والإيضاح عنها) </w:t>
      </w:r>
    </w:p>
    <w:p w:rsidR="008F7861" w:rsidRPr="008F7861" w:rsidRDefault="008F7861" w:rsidP="008F7861">
      <w:pPr>
        <w:ind w:left="46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F7861">
        <w:rPr>
          <w:rFonts w:asciiTheme="majorBidi" w:hAnsiTheme="majorBidi" w:cstheme="majorBidi"/>
          <w:b/>
          <w:bCs/>
          <w:sz w:val="18"/>
          <w:szCs w:val="18"/>
          <w:rtl/>
        </w:rPr>
        <w:t>أبو الفتح عثمان بن جني،  بتحقيق علي النجدي ناصف وزميليه، القاهرة، طبعة المجلس الأعلى للشئون الإسلامية، 1994م</w:t>
      </w:r>
    </w:p>
    <w:p w:rsidR="008F7861" w:rsidRPr="008F7861" w:rsidRDefault="008F7861" w:rsidP="008F7861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F7861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(مرشد الأعزة في بيان موقف العلماء من القراءات الشاذة) </w:t>
      </w:r>
    </w:p>
    <w:p w:rsidR="008F7861" w:rsidRPr="008F7861" w:rsidRDefault="008F7861" w:rsidP="008F7861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F7861">
        <w:rPr>
          <w:rFonts w:asciiTheme="majorBidi" w:hAnsiTheme="majorBidi" w:cstheme="majorBidi"/>
          <w:b/>
          <w:bCs/>
          <w:sz w:val="18"/>
          <w:szCs w:val="18"/>
          <w:rtl/>
        </w:rPr>
        <w:t>عبد الكريم إبراهيم صالح،  دار المحدثين, 2006م</w:t>
      </w:r>
    </w:p>
    <w:p w:rsidR="008F7861" w:rsidRPr="008F7861" w:rsidRDefault="008F7861" w:rsidP="008F7861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F7861">
        <w:rPr>
          <w:rFonts w:asciiTheme="majorBidi" w:hAnsiTheme="majorBidi" w:cstheme="majorBidi"/>
          <w:b/>
          <w:bCs/>
          <w:sz w:val="18"/>
          <w:szCs w:val="18"/>
        </w:rPr>
        <w:t>)</w:t>
      </w:r>
      <w:r w:rsidRPr="008F7861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إعراب القراءات الشواذ) </w:t>
      </w:r>
    </w:p>
    <w:p w:rsidR="008F7861" w:rsidRPr="008F7861" w:rsidRDefault="008F7861" w:rsidP="008F7861">
      <w:pPr>
        <w:ind w:left="567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F7861">
        <w:rPr>
          <w:rFonts w:asciiTheme="majorBidi" w:hAnsiTheme="majorBidi" w:cstheme="majorBidi"/>
          <w:b/>
          <w:bCs/>
          <w:sz w:val="18"/>
          <w:szCs w:val="18"/>
          <w:rtl/>
        </w:rPr>
        <w:t>أبو البقاء العكبري،  بتحقيق محمد السيد أحمد عزوز،  عالم الكتب, 1996م</w:t>
      </w:r>
    </w:p>
    <w:p w:rsidR="008F7861" w:rsidRPr="008F7861" w:rsidRDefault="008F7861" w:rsidP="008F7861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F7861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(الاختلاف بين القراءات) </w:t>
      </w:r>
    </w:p>
    <w:p w:rsidR="008F7861" w:rsidRPr="008F7861" w:rsidRDefault="008F7861" w:rsidP="008F7861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F7861">
        <w:rPr>
          <w:rFonts w:asciiTheme="majorBidi" w:hAnsiTheme="majorBidi" w:cstheme="majorBidi"/>
          <w:b/>
          <w:bCs/>
          <w:sz w:val="18"/>
          <w:szCs w:val="18"/>
          <w:rtl/>
        </w:rPr>
        <w:t>أحمد البيلي،  بيروت، دار الجبل، 1988م</w:t>
      </w:r>
    </w:p>
    <w:p w:rsidR="008F7861" w:rsidRPr="008F7861" w:rsidRDefault="008F7861" w:rsidP="008F7861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F7861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الشاذة وتوجيهها النحوي) </w:t>
      </w:r>
    </w:p>
    <w:p w:rsidR="008F7861" w:rsidRPr="008F7861" w:rsidRDefault="008F7861" w:rsidP="008F7861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F7861">
        <w:rPr>
          <w:rFonts w:asciiTheme="majorBidi" w:hAnsiTheme="majorBidi" w:cstheme="majorBidi"/>
          <w:b/>
          <w:bCs/>
          <w:sz w:val="18"/>
          <w:szCs w:val="18"/>
          <w:rtl/>
        </w:rPr>
        <w:t>محمود أحمد الصغير، بيروت، دار الفكر المعاصر, 1999م</w:t>
      </w:r>
    </w:p>
    <w:p w:rsidR="008F7861" w:rsidRPr="008F7861" w:rsidRDefault="008F7861" w:rsidP="008F7861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F7861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(كتاب المصاحف) </w:t>
      </w:r>
    </w:p>
    <w:p w:rsidR="008F7861" w:rsidRPr="008F7861" w:rsidRDefault="008F7861" w:rsidP="008F7861">
      <w:pPr>
        <w:ind w:left="567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F7861">
        <w:rPr>
          <w:rFonts w:asciiTheme="majorBidi" w:hAnsiTheme="majorBidi" w:cstheme="majorBidi"/>
          <w:b/>
          <w:bCs/>
          <w:sz w:val="18"/>
          <w:szCs w:val="18"/>
          <w:rtl/>
        </w:rPr>
        <w:t>أبو بكر عبد الله بن أبي داود سليمان بن الأشعث السجستاني، بيروت، دار الكتب العلمية, 1985م</w:t>
      </w:r>
    </w:p>
    <w:p w:rsidR="008F7861" w:rsidRPr="008F7861" w:rsidRDefault="008F7861" w:rsidP="008F7861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F7861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(مختصر في شواذ القران من كتاب البديع أو القراءات الشاذة) </w:t>
      </w:r>
    </w:p>
    <w:p w:rsidR="008F7861" w:rsidRPr="008F7861" w:rsidRDefault="008F7861" w:rsidP="008F7861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F7861">
        <w:rPr>
          <w:rFonts w:asciiTheme="majorBidi" w:hAnsiTheme="majorBidi" w:cstheme="majorBidi"/>
          <w:b/>
          <w:bCs/>
          <w:sz w:val="18"/>
          <w:szCs w:val="18"/>
          <w:rtl/>
        </w:rPr>
        <w:t>الحسين بن احمد ابن خالويه، دار الهجرة،  1934م</w:t>
      </w:r>
    </w:p>
    <w:p w:rsidR="008F7861" w:rsidRPr="008F7861" w:rsidRDefault="008F7861" w:rsidP="008F7861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F7861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القرآنية في بلاد الشام) </w:t>
      </w:r>
    </w:p>
    <w:p w:rsidR="008F7861" w:rsidRPr="008F7861" w:rsidRDefault="008F7861" w:rsidP="008F7861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F7861">
        <w:rPr>
          <w:rFonts w:asciiTheme="majorBidi" w:hAnsiTheme="majorBidi" w:cstheme="majorBidi"/>
          <w:b/>
          <w:bCs/>
          <w:sz w:val="18"/>
          <w:szCs w:val="18"/>
          <w:rtl/>
        </w:rPr>
        <w:t>حسين عطوان، بيروت، دار الجيل, 1982م</w:t>
      </w:r>
    </w:p>
    <w:p w:rsidR="008F7861" w:rsidRPr="008F7861" w:rsidRDefault="008F7861" w:rsidP="008F7861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F7861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الشاذة وتوجيهها من لغة العرب) </w:t>
      </w:r>
    </w:p>
    <w:p w:rsidR="008F7861" w:rsidRPr="008F7861" w:rsidRDefault="008F7861" w:rsidP="008F7861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F7861">
        <w:rPr>
          <w:rFonts w:asciiTheme="majorBidi" w:hAnsiTheme="majorBidi" w:cstheme="majorBidi"/>
          <w:b/>
          <w:bCs/>
          <w:sz w:val="18"/>
          <w:szCs w:val="18"/>
          <w:rtl/>
        </w:rPr>
        <w:t>عبد الفتاح القاضي، الهيئة العامة لشئون المطابع الأميرية، 1975م</w:t>
      </w:r>
    </w:p>
    <w:p w:rsidR="008F7861" w:rsidRPr="008F7861" w:rsidRDefault="008F7861" w:rsidP="008F7861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F7861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(اليزيدي القارئ النحوي دراسة نحوية قرآنية) </w:t>
      </w:r>
    </w:p>
    <w:p w:rsidR="008F7861" w:rsidRPr="008F7861" w:rsidRDefault="008F7861" w:rsidP="008F7861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F7861">
        <w:rPr>
          <w:rFonts w:asciiTheme="majorBidi" w:hAnsiTheme="majorBidi" w:cstheme="majorBidi"/>
          <w:b/>
          <w:bCs/>
          <w:sz w:val="18"/>
          <w:szCs w:val="18"/>
          <w:rtl/>
        </w:rPr>
        <w:t>محمد أحمد علي سحلول ،  دار الحسين الإسلامية, 1989م.</w:t>
      </w:r>
    </w:p>
    <w:p w:rsidR="008F7861" w:rsidRPr="008F7861" w:rsidRDefault="008F7861" w:rsidP="008F7861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F7861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(شواهد القراءات بين ابن هشام وابن عقيل، دراسة نحوية تحليلية) </w:t>
      </w:r>
    </w:p>
    <w:p w:rsidR="008F7861" w:rsidRPr="008F7861" w:rsidRDefault="008F7861" w:rsidP="008F7861">
      <w:pPr>
        <w:ind w:left="284" w:firstLine="436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F7861">
        <w:rPr>
          <w:rFonts w:asciiTheme="majorBidi" w:hAnsiTheme="majorBidi" w:cstheme="majorBidi"/>
          <w:b/>
          <w:bCs/>
          <w:sz w:val="18"/>
          <w:szCs w:val="18"/>
          <w:rtl/>
        </w:rPr>
        <w:t>محمد أحمد علي سحلول،  دار الطباعة المحمدية, 1993م</w:t>
      </w:r>
    </w:p>
    <w:p w:rsidR="008F7861" w:rsidRPr="008F7861" w:rsidRDefault="008F7861" w:rsidP="008F7861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F7861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(قراءة أبي السمال العدوي) </w:t>
      </w:r>
    </w:p>
    <w:p w:rsidR="008F7861" w:rsidRPr="008F7861" w:rsidRDefault="008F7861" w:rsidP="008F7861">
      <w:pPr>
        <w:ind w:left="284" w:firstLine="436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F7861">
        <w:rPr>
          <w:rFonts w:asciiTheme="majorBidi" w:hAnsiTheme="majorBidi" w:cstheme="majorBidi"/>
          <w:b/>
          <w:bCs/>
          <w:sz w:val="18"/>
          <w:szCs w:val="18"/>
          <w:rtl/>
        </w:rPr>
        <w:t>حمدي عبد الفتاح مصطفى خليل، الجريس، القاهرة, 2000م</w:t>
      </w:r>
    </w:p>
    <w:p w:rsidR="008F7861" w:rsidRPr="008F7861" w:rsidRDefault="008F7861" w:rsidP="008F7861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F7861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(قراءة عبد الله بن مسعود مكانتها ومصادرها إحصاؤها) </w:t>
      </w:r>
    </w:p>
    <w:p w:rsidR="008F7861" w:rsidRPr="008F7861" w:rsidRDefault="008F7861" w:rsidP="008F7861">
      <w:pPr>
        <w:pStyle w:val="NormalWeb"/>
        <w:bidi/>
        <w:spacing w:before="0" w:beforeAutospacing="0" w:after="0" w:afterAutospacing="0"/>
        <w:ind w:left="284" w:firstLine="436"/>
        <w:jc w:val="both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r w:rsidRPr="008F7861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محمد أحمد خاطر، دار الاعتصام, 1990م</w:t>
      </w:r>
    </w:p>
    <w:p w:rsidR="008F7861" w:rsidRPr="008F7861" w:rsidRDefault="008F7861" w:rsidP="008F7861">
      <w:pPr>
        <w:rPr>
          <w:rFonts w:hint="cs"/>
          <w:b/>
          <w:bCs/>
          <w:sz w:val="18"/>
          <w:szCs w:val="18"/>
        </w:rPr>
      </w:pPr>
    </w:p>
    <w:p w:rsidR="008F7861" w:rsidRPr="008F7861" w:rsidRDefault="008F7861" w:rsidP="008F7861">
      <w:pPr>
        <w:rPr>
          <w:b/>
          <w:bCs/>
          <w:sz w:val="18"/>
          <w:szCs w:val="18"/>
        </w:rPr>
      </w:pPr>
    </w:p>
    <w:p w:rsidR="008F7861" w:rsidRPr="008F7861" w:rsidRDefault="008F7861" w:rsidP="008F7861">
      <w:pPr>
        <w:jc w:val="lowKashida"/>
        <w:rPr>
          <w:rFonts w:asciiTheme="majorBidi" w:hAnsiTheme="majorBidi" w:cstheme="majorBidi" w:hint="cs"/>
          <w:b/>
          <w:bCs/>
          <w:sz w:val="18"/>
          <w:szCs w:val="18"/>
          <w:rtl/>
        </w:rPr>
      </w:pPr>
    </w:p>
    <w:p w:rsidR="008F7861" w:rsidRPr="008F7861" w:rsidRDefault="008F7861" w:rsidP="008F7861">
      <w:pPr>
        <w:rPr>
          <w:b/>
          <w:bCs/>
          <w:sz w:val="18"/>
          <w:szCs w:val="18"/>
        </w:rPr>
      </w:pPr>
    </w:p>
    <w:p w:rsidR="008F7861" w:rsidRDefault="008F7861" w:rsidP="008F7861">
      <w:pPr>
        <w:jc w:val="center"/>
        <w:rPr>
          <w:rFonts w:asciiTheme="majorBidi" w:eastAsia="Calibri" w:hAnsiTheme="majorBidi" w:cstheme="majorBidi"/>
          <w:b/>
          <w:bCs/>
          <w:sz w:val="48"/>
          <w:szCs w:val="48"/>
          <w:rtl/>
        </w:rPr>
        <w:sectPr w:rsidR="008F7861" w:rsidSect="008F7861">
          <w:type w:val="continuous"/>
          <w:pgSz w:w="11906" w:h="16838"/>
          <w:pgMar w:top="1440" w:right="849" w:bottom="568" w:left="1800" w:header="708" w:footer="708" w:gutter="0"/>
          <w:cols w:num="2" w:space="708"/>
          <w:bidi/>
          <w:rtlGutter/>
          <w:docGrid w:linePitch="360"/>
        </w:sectPr>
      </w:pPr>
    </w:p>
    <w:p w:rsidR="004219C3" w:rsidRPr="008F7861" w:rsidRDefault="004219C3" w:rsidP="008F7861">
      <w:pPr>
        <w:jc w:val="center"/>
        <w:rPr>
          <w:rFonts w:asciiTheme="majorBidi" w:eastAsia="Calibri" w:hAnsiTheme="majorBidi" w:cstheme="majorBidi"/>
          <w:b/>
          <w:bCs/>
          <w:sz w:val="48"/>
          <w:szCs w:val="48"/>
        </w:rPr>
      </w:pPr>
    </w:p>
    <w:sectPr w:rsidR="004219C3" w:rsidRPr="008F7861" w:rsidSect="008F7861">
      <w:type w:val="continuous"/>
      <w:pgSz w:w="11906" w:h="16838"/>
      <w:pgMar w:top="1440" w:right="849" w:bottom="568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Hotha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QCF_P22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GA Furat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_P02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2">
    <w:nsid w:val="54AF07C7"/>
    <w:multiLevelType w:val="hybridMultilevel"/>
    <w:tmpl w:val="3DB6F57A"/>
    <w:lvl w:ilvl="0" w:tplc="ED521654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F7861"/>
    <w:rsid w:val="001A2769"/>
    <w:rsid w:val="004168A0"/>
    <w:rsid w:val="004219C3"/>
    <w:rsid w:val="004A286F"/>
    <w:rsid w:val="008F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86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786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8F7861"/>
    <w:pPr>
      <w:bidi w:val="0"/>
      <w:spacing w:before="100" w:beforeAutospacing="1" w:after="100" w:afterAutospacing="1"/>
    </w:pPr>
    <w:rPr>
      <w:lang w:bidi="ar-SA"/>
    </w:rPr>
  </w:style>
  <w:style w:type="character" w:styleId="Hyperlink">
    <w:name w:val="Hyperlink"/>
    <w:basedOn w:val="DefaultParagraphFont"/>
    <w:uiPriority w:val="99"/>
    <w:unhideWhenUsed/>
    <w:rsid w:val="008F78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hmedmsamir5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1274</Words>
  <Characters>7263</Characters>
  <Application>Microsoft Office Word</Application>
  <DocSecurity>0</DocSecurity>
  <Lines>60</Lines>
  <Paragraphs>17</Paragraphs>
  <ScaleCrop>false</ScaleCrop>
  <Company>Fannan</Company>
  <LinksUpToDate>false</LinksUpToDate>
  <CharactersWithSpaces>8520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Fannan NewLook V5</cp:lastModifiedBy>
  <cp:revision>1</cp:revision>
  <dcterms:created xsi:type="dcterms:W3CDTF">2013-06-16T14:54:00Z</dcterms:created>
  <dcterms:modified xsi:type="dcterms:W3CDTF">2013-06-16T14:58:00Z</dcterms:modified>
</cp:coreProperties>
</file>