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19" w:rsidRDefault="009F6719" w:rsidP="009F6719">
      <w:pPr>
        <w:spacing w:before="60"/>
        <w:jc w:val="center"/>
        <w:rPr>
          <w:rFonts w:asciiTheme="majorBidi" w:eastAsia="Calibri" w:hAnsiTheme="majorBidi" w:cstheme="majorBidi" w:hint="cs"/>
          <w:b/>
          <w:bCs/>
          <w:sz w:val="48"/>
          <w:szCs w:val="48"/>
          <w:rtl/>
        </w:rPr>
      </w:pPr>
      <w:r w:rsidRPr="009F6719">
        <w:rPr>
          <w:rFonts w:asciiTheme="majorBidi" w:eastAsia="Calibri" w:hAnsiTheme="majorBidi" w:cstheme="majorBidi"/>
          <w:b/>
          <w:bCs/>
          <w:sz w:val="48"/>
          <w:szCs w:val="48"/>
          <w:rtl/>
        </w:rPr>
        <w:t>الزجاج، والأخفش الأصغر، وابن السراج</w:t>
      </w:r>
    </w:p>
    <w:p w:rsidR="009F6719" w:rsidRDefault="009F6719" w:rsidP="009F6719">
      <w:pPr>
        <w:jc w:val="lowKashida"/>
        <w:rPr>
          <w:rFonts w:asciiTheme="majorBidi" w:hAnsiTheme="majorBidi" w:cstheme="majorBidi" w:hint="cs"/>
          <w:b/>
          <w:bCs/>
          <w:sz w:val="18"/>
          <w:szCs w:val="18"/>
          <w:rtl/>
        </w:rPr>
      </w:pPr>
    </w:p>
    <w:p w:rsidR="009F6719" w:rsidRPr="00F7753E" w:rsidRDefault="009F6719" w:rsidP="009F6719">
      <w:pPr>
        <w:jc w:val="lowKashida"/>
        <w:rPr>
          <w:rFonts w:asciiTheme="majorBidi" w:hAnsiTheme="majorBidi" w:cstheme="majorBidi" w:hint="cs"/>
          <w:b/>
          <w:bCs/>
          <w:sz w:val="18"/>
          <w:szCs w:val="18"/>
          <w:rtl/>
        </w:rPr>
      </w:pPr>
    </w:p>
    <w:p w:rsidR="009F6719" w:rsidRPr="00F7753E" w:rsidRDefault="009F6719" w:rsidP="009F6719">
      <w:pPr>
        <w:jc w:val="lowKashida"/>
        <w:rPr>
          <w:rFonts w:asciiTheme="majorBidi" w:hAnsiTheme="majorBidi" w:cstheme="majorBidi" w:hint="cs"/>
          <w:b/>
          <w:bCs/>
          <w:sz w:val="18"/>
          <w:szCs w:val="18"/>
          <w:rtl/>
        </w:rPr>
      </w:pPr>
    </w:p>
    <w:p w:rsidR="009F6719" w:rsidRPr="00F7753E" w:rsidRDefault="009F6719" w:rsidP="009F6719">
      <w:pPr>
        <w:jc w:val="center"/>
        <w:rPr>
          <w:rFonts w:asciiTheme="majorBidi" w:eastAsia="Calibri" w:hAnsiTheme="majorBidi" w:cstheme="majorBidi"/>
          <w:sz w:val="18"/>
          <w:szCs w:val="18"/>
          <w:rtl/>
        </w:rPr>
      </w:pPr>
      <w:r w:rsidRPr="00F7753E">
        <w:rPr>
          <w:rFonts w:asciiTheme="majorBidi" w:hAnsiTheme="majorBidi" w:cstheme="majorBidi"/>
          <w:sz w:val="18"/>
          <w:szCs w:val="18"/>
          <w:rtl/>
        </w:rPr>
        <w:t xml:space="preserve">مبحث فى </w:t>
      </w:r>
      <w:r w:rsidRPr="00F7753E">
        <w:rPr>
          <w:rFonts w:asciiTheme="majorBidi" w:hAnsiTheme="majorBidi" w:cstheme="majorBidi" w:hint="cs"/>
          <w:sz w:val="18"/>
          <w:szCs w:val="18"/>
          <w:rtl/>
        </w:rPr>
        <w:t xml:space="preserve">علم </w:t>
      </w:r>
      <w:r w:rsidRPr="00F7753E">
        <w:rPr>
          <w:rFonts w:asciiTheme="majorBidi" w:eastAsia="Calibri" w:hAnsiTheme="majorBidi" w:cstheme="majorBidi" w:hint="cs"/>
          <w:sz w:val="18"/>
          <w:szCs w:val="18"/>
          <w:rtl/>
        </w:rPr>
        <w:t>القراءات الشاذه</w:t>
      </w:r>
    </w:p>
    <w:p w:rsidR="009F6719" w:rsidRPr="00426F7E" w:rsidRDefault="009F6719" w:rsidP="009F6719">
      <w:pPr>
        <w:jc w:val="center"/>
        <w:rPr>
          <w:rFonts w:asciiTheme="majorBidi" w:hAnsiTheme="majorBidi" w:cstheme="majorBidi"/>
          <w:sz w:val="18"/>
          <w:szCs w:val="18"/>
        </w:rPr>
      </w:pPr>
      <w:r w:rsidRPr="00426F7E">
        <w:rPr>
          <w:rFonts w:asciiTheme="majorBidi" w:hAnsiTheme="majorBidi" w:cstheme="majorBidi"/>
          <w:sz w:val="18"/>
          <w:szCs w:val="18"/>
          <w:rtl/>
        </w:rPr>
        <w:t>إعداد / أحمد محمد سمير</w:t>
      </w:r>
    </w:p>
    <w:p w:rsidR="009F6719" w:rsidRPr="00426F7E" w:rsidRDefault="009F6719" w:rsidP="009F6719">
      <w:pPr>
        <w:jc w:val="center"/>
        <w:rPr>
          <w:rFonts w:asciiTheme="majorBidi" w:hAnsiTheme="majorBidi" w:cstheme="majorBidi"/>
          <w:sz w:val="18"/>
          <w:szCs w:val="18"/>
        </w:rPr>
      </w:pPr>
      <w:r w:rsidRPr="00426F7E">
        <w:rPr>
          <w:rFonts w:asciiTheme="majorBidi" w:hAnsiTheme="majorBidi" w:cstheme="majorBidi"/>
          <w:sz w:val="18"/>
          <w:szCs w:val="18"/>
          <w:rtl/>
        </w:rPr>
        <w:t>قسم الدعوة وأصول الدين</w:t>
      </w:r>
    </w:p>
    <w:p w:rsidR="009F6719" w:rsidRPr="00426F7E" w:rsidRDefault="009F6719" w:rsidP="009F6719">
      <w:pPr>
        <w:jc w:val="center"/>
        <w:rPr>
          <w:rFonts w:asciiTheme="majorBidi" w:hAnsiTheme="majorBidi" w:cstheme="majorBidi"/>
          <w:sz w:val="18"/>
          <w:szCs w:val="18"/>
        </w:rPr>
      </w:pPr>
      <w:r w:rsidRPr="00426F7E">
        <w:rPr>
          <w:rFonts w:asciiTheme="majorBidi" w:hAnsiTheme="majorBidi" w:cstheme="majorBidi"/>
          <w:sz w:val="18"/>
          <w:szCs w:val="18"/>
          <w:rtl/>
        </w:rPr>
        <w:t>كلية العلوم الإسلامية – جامعة المدينة العالمية</w:t>
      </w:r>
    </w:p>
    <w:p w:rsidR="009F6719" w:rsidRPr="00426F7E" w:rsidRDefault="009F6719" w:rsidP="009F6719">
      <w:pPr>
        <w:jc w:val="center"/>
        <w:rPr>
          <w:rFonts w:asciiTheme="majorBidi" w:hAnsiTheme="majorBidi" w:cstheme="majorBidi"/>
          <w:sz w:val="18"/>
          <w:szCs w:val="18"/>
          <w:rtl/>
        </w:rPr>
      </w:pPr>
      <w:r w:rsidRPr="00426F7E">
        <w:rPr>
          <w:rFonts w:asciiTheme="majorBidi" w:hAnsiTheme="majorBidi" w:cstheme="majorBidi"/>
          <w:sz w:val="18"/>
          <w:szCs w:val="18"/>
          <w:rtl/>
        </w:rPr>
        <w:t>شاه علم - ماليزيا</w:t>
      </w:r>
    </w:p>
    <w:p w:rsidR="009F6719" w:rsidRDefault="009F6719" w:rsidP="009F6719">
      <w:pPr>
        <w:tabs>
          <w:tab w:val="left" w:pos="4050"/>
        </w:tabs>
        <w:jc w:val="center"/>
        <w:rPr>
          <w:rFonts w:asciiTheme="majorBidi" w:hAnsiTheme="majorBidi" w:cstheme="majorBidi"/>
          <w:b/>
          <w:bCs/>
          <w:sz w:val="18"/>
          <w:szCs w:val="18"/>
          <w:rtl/>
        </w:rPr>
      </w:pPr>
      <w:hyperlink r:id="rId7" w:history="1">
        <w:r w:rsidRPr="00DE0243">
          <w:rPr>
            <w:rStyle w:val="Hyperlink"/>
            <w:rFonts w:asciiTheme="majorBidi" w:hAnsiTheme="majorBidi" w:cstheme="majorBidi"/>
            <w:b/>
            <w:bCs/>
            <w:sz w:val="18"/>
            <w:szCs w:val="18"/>
          </w:rPr>
          <w:t>Ahmedmsamir54@gmail.com</w:t>
        </w:r>
      </w:hyperlink>
    </w:p>
    <w:p w:rsidR="009F6719" w:rsidRPr="00426F7E" w:rsidRDefault="009F6719" w:rsidP="009F6719">
      <w:pPr>
        <w:tabs>
          <w:tab w:val="left" w:pos="4050"/>
        </w:tabs>
        <w:jc w:val="center"/>
        <w:rPr>
          <w:rFonts w:asciiTheme="majorBidi" w:hAnsiTheme="majorBidi" w:cstheme="majorBidi"/>
          <w:b/>
          <w:bCs/>
          <w:sz w:val="18"/>
          <w:szCs w:val="18"/>
        </w:rPr>
      </w:pPr>
    </w:p>
    <w:p w:rsidR="009F6719" w:rsidRDefault="009F6719" w:rsidP="009F6719">
      <w:pPr>
        <w:jc w:val="center"/>
        <w:rPr>
          <w:rFonts w:asciiTheme="majorBidi" w:hAnsiTheme="majorBidi" w:cstheme="majorBidi"/>
          <w:b/>
          <w:bCs/>
          <w:sz w:val="18"/>
          <w:szCs w:val="18"/>
          <w:rtl/>
        </w:rPr>
        <w:sectPr w:rsidR="009F6719" w:rsidSect="009F6719">
          <w:headerReference w:type="even" r:id="rId8"/>
          <w:pgSz w:w="11906" w:h="16838" w:code="9"/>
          <w:pgMar w:top="709" w:right="849" w:bottom="426" w:left="1560" w:header="720" w:footer="720" w:gutter="0"/>
          <w:cols w:space="720"/>
          <w:titlePg/>
          <w:bidi/>
          <w:rtlGutter/>
          <w:docGrid w:linePitch="360"/>
        </w:sectPr>
      </w:pPr>
    </w:p>
    <w:p w:rsidR="009F6719" w:rsidRPr="009F6719" w:rsidRDefault="009F6719" w:rsidP="009F6719">
      <w:pPr>
        <w:jc w:val="center"/>
        <w:rPr>
          <w:rFonts w:asciiTheme="majorBidi" w:eastAsia="Calibri" w:hAnsiTheme="majorBidi" w:cstheme="majorBidi" w:hint="cs"/>
          <w:b/>
          <w:bCs/>
          <w:sz w:val="18"/>
          <w:szCs w:val="18"/>
          <w:rtl/>
        </w:rPr>
      </w:pPr>
      <w:r w:rsidRPr="009F6719">
        <w:rPr>
          <w:rFonts w:asciiTheme="majorBidi" w:hAnsiTheme="majorBidi" w:cstheme="majorBidi"/>
          <w:b/>
          <w:bCs/>
          <w:sz w:val="18"/>
          <w:szCs w:val="18"/>
          <w:rtl/>
        </w:rPr>
        <w:lastRenderedPageBreak/>
        <w:t xml:space="preserve">الخلاصة – هذا البحث يبحث فى </w:t>
      </w:r>
      <w:r w:rsidRPr="009F6719">
        <w:rPr>
          <w:rFonts w:asciiTheme="majorBidi" w:eastAsia="Calibri" w:hAnsiTheme="majorBidi" w:cstheme="majorBidi"/>
          <w:b/>
          <w:bCs/>
          <w:sz w:val="18"/>
          <w:szCs w:val="18"/>
          <w:rtl/>
        </w:rPr>
        <w:t>الزجاج، والأخفش الأصغر، وابن السراج</w:t>
      </w:r>
    </w:p>
    <w:p w:rsidR="009F6719" w:rsidRPr="009F6719" w:rsidRDefault="009F6719" w:rsidP="009F6719">
      <w:pPr>
        <w:rPr>
          <w:rFonts w:asciiTheme="majorBidi" w:eastAsia="Calibri" w:hAnsiTheme="majorBidi" w:cstheme="majorBidi"/>
          <w:b/>
          <w:bCs/>
          <w:sz w:val="18"/>
          <w:szCs w:val="18"/>
          <w:rtl/>
        </w:rPr>
      </w:pPr>
    </w:p>
    <w:p w:rsidR="009F6719" w:rsidRPr="009F6719" w:rsidRDefault="009F6719" w:rsidP="009F6719">
      <w:pPr>
        <w:rPr>
          <w:rFonts w:asciiTheme="majorBidi" w:eastAsia="Calibri" w:hAnsiTheme="majorBidi" w:cstheme="majorBidi"/>
          <w:b/>
          <w:bCs/>
          <w:sz w:val="18"/>
          <w:szCs w:val="18"/>
          <w:rtl/>
        </w:rPr>
      </w:pPr>
      <w:r w:rsidRPr="009F6719">
        <w:rPr>
          <w:rFonts w:asciiTheme="majorBidi" w:eastAsia="Calibri" w:hAnsiTheme="majorBidi" w:cstheme="majorBidi"/>
          <w:b/>
          <w:bCs/>
          <w:sz w:val="18"/>
          <w:szCs w:val="18"/>
          <w:rtl/>
        </w:rPr>
        <w:t xml:space="preserve">الكلمات المفتاحية – </w:t>
      </w:r>
      <w:r w:rsidRPr="009F6719">
        <w:rPr>
          <w:rFonts w:asciiTheme="majorBidi" w:eastAsia="Calibri" w:hAnsiTheme="majorBidi" w:cstheme="majorBidi" w:hint="cs"/>
          <w:b/>
          <w:bCs/>
          <w:sz w:val="18"/>
          <w:szCs w:val="18"/>
          <w:rtl/>
        </w:rPr>
        <w:t>الزجاج، الاخفش، الاصغر</w:t>
      </w:r>
    </w:p>
    <w:p w:rsidR="009F6719" w:rsidRPr="009F6719" w:rsidRDefault="009F6719" w:rsidP="009F6719">
      <w:pPr>
        <w:numPr>
          <w:ilvl w:val="0"/>
          <w:numId w:val="2"/>
        </w:numPr>
        <w:spacing w:after="200"/>
        <w:ind w:left="643" w:hanging="90"/>
        <w:jc w:val="center"/>
        <w:rPr>
          <w:rFonts w:asciiTheme="majorBidi" w:hAnsiTheme="majorBidi" w:cstheme="majorBidi"/>
          <w:b/>
          <w:bCs/>
          <w:sz w:val="18"/>
          <w:szCs w:val="18"/>
          <w:rtl/>
        </w:rPr>
      </w:pPr>
      <w:r w:rsidRPr="009F6719">
        <w:rPr>
          <w:rFonts w:asciiTheme="majorBidi" w:hAnsiTheme="majorBidi" w:cstheme="majorBidi"/>
          <w:b/>
          <w:bCs/>
          <w:sz w:val="18"/>
          <w:szCs w:val="18"/>
          <w:rtl/>
        </w:rPr>
        <w:t>.المقدمة</w:t>
      </w:r>
    </w:p>
    <w:p w:rsidR="009F6719" w:rsidRPr="009F6719" w:rsidRDefault="009F6719" w:rsidP="009F6719">
      <w:pPr>
        <w:jc w:val="center"/>
        <w:rPr>
          <w:rFonts w:asciiTheme="majorBidi" w:eastAsia="Calibri" w:hAnsiTheme="majorBidi" w:cstheme="majorBidi" w:hint="cs"/>
          <w:b/>
          <w:bCs/>
          <w:sz w:val="18"/>
          <w:szCs w:val="18"/>
          <w:rtl/>
        </w:rPr>
      </w:pPr>
      <w:r w:rsidRPr="009F6719">
        <w:rPr>
          <w:rFonts w:asciiTheme="majorBidi" w:hAnsiTheme="majorBidi" w:cstheme="majorBidi"/>
          <w:b/>
          <w:bCs/>
          <w:sz w:val="18"/>
          <w:szCs w:val="18"/>
          <w:rtl/>
        </w:rPr>
        <w:t xml:space="preserve"> الحمد لله رب العالمين، والصلاة والسلام على أشرف المرسلين سيدنا محمد، وعلى آله وصحبه والتابعين ، سوف نقوم في هذا البحث بمعرفة </w:t>
      </w:r>
      <w:r w:rsidRPr="009F6719">
        <w:rPr>
          <w:rFonts w:asciiTheme="majorBidi" w:eastAsia="Calibri" w:hAnsiTheme="majorBidi" w:cstheme="majorBidi"/>
          <w:b/>
          <w:bCs/>
          <w:sz w:val="18"/>
          <w:szCs w:val="18"/>
          <w:rtl/>
        </w:rPr>
        <w:t>الزجاج، والأخفش الأصغر، وابن السراج</w:t>
      </w:r>
    </w:p>
    <w:p w:rsidR="009F6719" w:rsidRPr="009F6719" w:rsidRDefault="009F6719" w:rsidP="009F6719">
      <w:pPr>
        <w:rPr>
          <w:rFonts w:asciiTheme="majorBidi" w:hAnsiTheme="majorBidi" w:cstheme="majorBidi"/>
          <w:b/>
          <w:bCs/>
          <w:sz w:val="18"/>
          <w:szCs w:val="18"/>
          <w:rtl/>
        </w:rPr>
      </w:pPr>
    </w:p>
    <w:p w:rsidR="009F6719" w:rsidRPr="009F6719" w:rsidRDefault="009F6719" w:rsidP="009F6719">
      <w:pPr>
        <w:numPr>
          <w:ilvl w:val="0"/>
          <w:numId w:val="3"/>
        </w:numPr>
        <w:spacing w:after="200"/>
        <w:ind w:left="733" w:hanging="90"/>
        <w:jc w:val="center"/>
        <w:rPr>
          <w:rFonts w:asciiTheme="majorBidi" w:hAnsiTheme="majorBidi" w:cstheme="majorBidi"/>
          <w:b/>
          <w:bCs/>
          <w:sz w:val="18"/>
          <w:szCs w:val="18"/>
          <w:rtl/>
        </w:rPr>
      </w:pPr>
      <w:r w:rsidRPr="009F6719">
        <w:rPr>
          <w:rFonts w:asciiTheme="majorBidi" w:hAnsiTheme="majorBidi" w:cstheme="majorBidi"/>
          <w:b/>
          <w:bCs/>
          <w:sz w:val="18"/>
          <w:szCs w:val="18"/>
          <w:rtl/>
        </w:rPr>
        <w:t>.عنوان المقال</w:t>
      </w:r>
    </w:p>
    <w:p w:rsidR="009F6719" w:rsidRPr="009F6719" w:rsidRDefault="009F6719" w:rsidP="009F6719">
      <w:pPr>
        <w:jc w:val="center"/>
        <w:rPr>
          <w:rFonts w:asciiTheme="majorBidi" w:eastAsia="Calibri" w:hAnsiTheme="majorBidi" w:cstheme="majorBidi"/>
          <w:b/>
          <w:bCs/>
          <w:sz w:val="18"/>
          <w:szCs w:val="18"/>
        </w:rPr>
      </w:pPr>
    </w:p>
    <w:p w:rsidR="009F6719" w:rsidRPr="009F6719" w:rsidRDefault="009F6719" w:rsidP="009F6719">
      <w:pPr>
        <w:pStyle w:val="NormalWeb"/>
        <w:bidi/>
        <w:spacing w:before="0" w:beforeAutospacing="0" w:after="120" w:afterAutospacing="0"/>
        <w:jc w:val="lowKashida"/>
        <w:rPr>
          <w:rFonts w:ascii="Simplified Arabic" w:hAnsi="Simplified Arabic" w:cs="AL-Hotham" w:hint="cs"/>
          <w:b/>
          <w:bCs/>
          <w:sz w:val="18"/>
          <w:szCs w:val="18"/>
          <w:rtl/>
          <w:lang w:bidi="ar-EG"/>
        </w:rPr>
      </w:pPr>
      <w:r w:rsidRPr="009F6719">
        <w:rPr>
          <w:rFonts w:ascii="Simplified Arabic" w:hAnsi="Simplified Arabic" w:cs="AL-Hotham"/>
          <w:b/>
          <w:bCs/>
          <w:sz w:val="18"/>
          <w:szCs w:val="18"/>
          <w:rtl/>
        </w:rPr>
        <w:t>نمضي</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في القرن الرابع فتطالعنا مواقف تلامذة المبرد: أبي إسحاق إبراهيم بن السري الزجاج، وعلي</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بن سليمان الأخفش الأصغر، وأبي بكر محمد بن السري بن السراج، وهي مواقف لا تبتعد</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كثيرًا عن موقف شيخهم في النظر إلى الشواذ</w:t>
      </w:r>
      <w:r w:rsidRPr="009F6719">
        <w:rPr>
          <w:rFonts w:ascii="Simplified Arabic" w:hAnsi="Simplified Arabic" w:cs="AL-Hotham"/>
          <w:b/>
          <w:bCs/>
          <w:sz w:val="18"/>
          <w:szCs w:val="18"/>
          <w:rtl/>
          <w:lang w:bidi="ar-EG"/>
        </w:rPr>
        <w:t>.</w:t>
      </w:r>
    </w:p>
    <w:p w:rsidR="009F6719" w:rsidRPr="009F6719" w:rsidRDefault="009F6719" w:rsidP="009F6719">
      <w:pPr>
        <w:pStyle w:val="NormalWeb"/>
        <w:bidi/>
        <w:spacing w:before="0" w:beforeAutospacing="0"/>
        <w:jc w:val="lowKashida"/>
        <w:rPr>
          <w:rFonts w:ascii="Simplified Arabic" w:hAnsi="Simplified Arabic" w:cs="AL-Hotham" w:hint="cs"/>
          <w:b/>
          <w:bCs/>
          <w:sz w:val="18"/>
          <w:szCs w:val="18"/>
          <w:rtl/>
        </w:rPr>
      </w:pPr>
      <w:r w:rsidRPr="009F6719">
        <w:rPr>
          <w:rFonts w:ascii="Simplified Arabic" w:hAnsi="Simplified Arabic" w:cs="AL-Hotham"/>
          <w:b/>
          <w:bCs/>
          <w:sz w:val="18"/>
          <w:szCs w:val="18"/>
          <w:rtl/>
        </w:rPr>
        <w:t>الزجاج:</w:t>
      </w:r>
    </w:p>
    <w:p w:rsidR="009F6719" w:rsidRPr="009F6719" w:rsidRDefault="009F6719" w:rsidP="009F6719">
      <w:pPr>
        <w:pStyle w:val="NormalWeb"/>
        <w:bidi/>
        <w:spacing w:before="0" w:beforeAutospacing="0" w:after="120" w:afterAutospacing="0"/>
        <w:jc w:val="lowKashida"/>
        <w:rPr>
          <w:rFonts w:ascii="Simplified Arabic" w:hAnsi="Simplified Arabic" w:cs="AL-Hotham"/>
          <w:b/>
          <w:bCs/>
          <w:sz w:val="18"/>
          <w:szCs w:val="18"/>
          <w:lang w:bidi="ar-EG"/>
        </w:rPr>
      </w:pPr>
      <w:r w:rsidRPr="009F6719">
        <w:rPr>
          <w:rFonts w:ascii="Simplified Arabic" w:hAnsi="Simplified Arabic" w:cs="AL-Hotham"/>
          <w:b/>
          <w:bCs/>
          <w:sz w:val="18"/>
          <w:szCs w:val="18"/>
          <w:rtl/>
        </w:rPr>
        <w:t>أما الزجاج: فأكثرهم عناية بلغة القرآن؛ فقد</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وضع كتابًا في معاني القرآن جعله مدار بحثه النحوي، وصرح غير مرة بالتزام رسم القرآن،</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كما صرح بتمسكه بسنة القراءة، ويبدو أنه مقتنع بشذوذ الحروف المخالفة؛ لأنه رفض أن</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يقرأ بقراءة ابن مسعود، ولو كانت جائزة في النحو، ولكن الزجاج كمن تقدمه من النحاة لا</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يلتفت في معرض حديثه النحوي إلى التمييز بين مشهور القراءات، وشاذها؛ فهو يخضعها</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جميعًا لمذهبه، ولا ينص على شذوذ القراءة إلا إذا أراد شذوذ وجهها النحوي</w:t>
      </w:r>
      <w:r w:rsidRPr="009F6719">
        <w:rPr>
          <w:rFonts w:ascii="Simplified Arabic" w:hAnsi="Simplified Arabic" w:cs="AL-Hotham"/>
          <w:b/>
          <w:bCs/>
          <w:sz w:val="18"/>
          <w:szCs w:val="18"/>
          <w:rtl/>
          <w:lang w:bidi="ar-EG"/>
        </w:rPr>
        <w:t xml:space="preserve">. </w:t>
      </w:r>
    </w:p>
    <w:p w:rsidR="009F6719" w:rsidRPr="009F6719" w:rsidRDefault="009F6719" w:rsidP="009F6719">
      <w:pPr>
        <w:pStyle w:val="NormalWeb"/>
        <w:bidi/>
        <w:spacing w:before="0" w:beforeAutospacing="0" w:after="120" w:afterAutospacing="0"/>
        <w:jc w:val="lowKashida"/>
        <w:rPr>
          <w:rFonts w:ascii="Simplified Arabic" w:hAnsi="Simplified Arabic" w:cs="AL-Hotham"/>
          <w:b/>
          <w:bCs/>
          <w:sz w:val="18"/>
          <w:szCs w:val="18"/>
          <w:lang w:bidi="ar-EG"/>
        </w:rPr>
      </w:pPr>
      <w:r w:rsidRPr="009F6719">
        <w:rPr>
          <w:rFonts w:ascii="Simplified Arabic" w:hAnsi="Simplified Arabic" w:cs="AL-Hotham"/>
          <w:b/>
          <w:bCs/>
          <w:sz w:val="18"/>
          <w:szCs w:val="18"/>
          <w:rtl/>
        </w:rPr>
        <w:t>فقد رفض</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بعض القراءات المشهورة، ووصفها باللحن والخطأ، وارتضى من القراءات الشاذة ما يوافقه،</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ورفض ما لا يوافقه، فهو يقبل في قراءة يعقوب</w:t>
      </w:r>
      <w:r w:rsidRPr="009F6719">
        <w:rPr>
          <w:rFonts w:ascii="Simplified Arabic" w:hAnsi="Simplified Arabic" w:cs="AL-Hotham"/>
          <w:b/>
          <w:bCs/>
          <w:sz w:val="18"/>
          <w:szCs w:val="18"/>
          <w:rtl/>
          <w:lang w:bidi="ar-EG"/>
        </w:rPr>
        <w:t>: "</w:t>
      </w:r>
      <w:r w:rsidRPr="009F6719">
        <w:rPr>
          <w:rFonts w:ascii="Simplified Arabic" w:hAnsi="Simplified Arabic" w:cs="AL-Hotham"/>
          <w:b/>
          <w:bCs/>
          <w:sz w:val="18"/>
          <w:szCs w:val="18"/>
          <w:rtl/>
        </w:rPr>
        <w:t>فله عشرٌ أمثالُها</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رفع</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الأمثال</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على أنها</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صفة لعشر، ويحمل قراءة الحسن</w:t>
      </w:r>
      <w:r w:rsidRPr="009F6719">
        <w:rPr>
          <w:rFonts w:ascii="Simplified Arabic" w:hAnsi="Simplified Arabic" w:cs="AL-Hotham"/>
          <w:b/>
          <w:bCs/>
          <w:sz w:val="18"/>
          <w:szCs w:val="18"/>
          <w:rtl/>
          <w:lang w:bidi="ar-EG"/>
        </w:rPr>
        <w:t>: "</w:t>
      </w:r>
      <w:r w:rsidRPr="009F6719">
        <w:rPr>
          <w:rFonts w:ascii="Simplified Arabic" w:hAnsi="Simplified Arabic" w:cs="AL-Hotham"/>
          <w:b/>
          <w:bCs/>
          <w:sz w:val="18"/>
          <w:szCs w:val="18"/>
          <w:rtl/>
        </w:rPr>
        <w:t>أو وهبت</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بفتح الهمزة على حذف اللام، وقراءة الأعرج</w:t>
      </w:r>
      <w:r w:rsidRPr="009F6719">
        <w:rPr>
          <w:rFonts w:ascii="Simplified Arabic" w:hAnsi="Simplified Arabic" w:cs="AL-Hotham"/>
          <w:b/>
          <w:bCs/>
          <w:sz w:val="18"/>
          <w:szCs w:val="18"/>
          <w:rtl/>
          <w:lang w:bidi="ar-EG"/>
        </w:rPr>
        <w:t>: "</w:t>
      </w:r>
      <w:r w:rsidRPr="009F6719">
        <w:rPr>
          <w:rFonts w:ascii="Simplified Arabic" w:hAnsi="Simplified Arabic" w:cs="AL-Hotham"/>
          <w:b/>
          <w:bCs/>
          <w:sz w:val="18"/>
          <w:szCs w:val="18"/>
          <w:rtl/>
        </w:rPr>
        <w:t>يا</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جبال أوبي معه والطير</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برفع الطير على العطف على الضمير في</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أوبي</w:t>
      </w:r>
      <w:r w:rsidRPr="009F6719">
        <w:rPr>
          <w:rFonts w:ascii="Simplified Arabic" w:hAnsi="Simplified Arabic" w:cs="AL-Hotham"/>
          <w:b/>
          <w:bCs/>
          <w:sz w:val="18"/>
          <w:szCs w:val="18"/>
          <w:rtl/>
          <w:lang w:bidi="ar-EG"/>
        </w:rPr>
        <w:t>"</w:t>
      </w:r>
      <w:r w:rsidRPr="009F6719">
        <w:rPr>
          <w:rFonts w:ascii="Simplified Arabic" w:hAnsi="Simplified Arabic" w:cs="AL-Hotham"/>
          <w:b/>
          <w:bCs/>
          <w:sz w:val="18"/>
          <w:szCs w:val="18"/>
          <w:rtl/>
        </w:rPr>
        <w:t>، أو على المنادى: يا</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جبال. وهو يحتج كسائر النحاة لبعضها بالشعر كاحتجاجه لقراءة الجرمي</w:t>
      </w:r>
      <w:r w:rsidRPr="009F6719">
        <w:rPr>
          <w:rFonts w:ascii="Simplified Arabic" w:hAnsi="Simplified Arabic" w:cs="AL-Hotham"/>
          <w:b/>
          <w:bCs/>
          <w:sz w:val="18"/>
          <w:szCs w:val="18"/>
          <w:rtl/>
          <w:lang w:bidi="ar-EG"/>
        </w:rPr>
        <w:t>: "</w:t>
      </w:r>
      <w:r w:rsidRPr="009F6719">
        <w:rPr>
          <w:rFonts w:ascii="Simplified Arabic" w:hAnsi="Simplified Arabic" w:cs="AL-Hotham"/>
          <w:b/>
          <w:bCs/>
          <w:sz w:val="18"/>
          <w:szCs w:val="18"/>
          <w:rtl/>
        </w:rPr>
        <w:t>فنفعها إيمانها</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إلا قوم يونس</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لقول الشاعر</w:t>
      </w:r>
      <w:r w:rsidRPr="009F6719">
        <w:rPr>
          <w:rFonts w:ascii="Simplified Arabic" w:hAnsi="Simplified Arabic" w:cs="AL-Hotham"/>
          <w:b/>
          <w:bCs/>
          <w:sz w:val="18"/>
          <w:szCs w:val="18"/>
          <w:rtl/>
          <w:lang w:bidi="ar-EG"/>
        </w:rPr>
        <w:t>:</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032"/>
        <w:gridCol w:w="564"/>
        <w:gridCol w:w="2008"/>
      </w:tblGrid>
      <w:tr w:rsidR="009F6719" w:rsidRPr="009F6719" w:rsidTr="00064B76">
        <w:trPr>
          <w:trHeight w:hRule="exact" w:val="510"/>
          <w:jc w:val="center"/>
        </w:trPr>
        <w:tc>
          <w:tcPr>
            <w:tcW w:w="2909" w:type="dxa"/>
            <w:shd w:val="clear" w:color="auto" w:fill="auto"/>
            <w:vAlign w:val="center"/>
          </w:tcPr>
          <w:p w:rsidR="009F6719" w:rsidRPr="009F6719" w:rsidRDefault="009F6719" w:rsidP="009F6719">
            <w:pPr>
              <w:spacing w:after="120"/>
              <w:jc w:val="both"/>
              <w:rPr>
                <w:rFonts w:cs="AGA Furat Regular"/>
                <w:b/>
                <w:bCs/>
                <w:sz w:val="18"/>
                <w:szCs w:val="18"/>
                <w:rtl/>
              </w:rPr>
            </w:pPr>
            <w:r w:rsidRPr="009F6719">
              <w:rPr>
                <w:rFonts w:cs="AGA Furat Regular"/>
                <w:b/>
                <w:bCs/>
                <w:sz w:val="18"/>
                <w:szCs w:val="18"/>
                <w:rtl/>
                <w:lang w:bidi="ar-SA"/>
              </w:rPr>
              <w:t>وكل أخ مفارقه أخوه</w:t>
            </w:r>
            <w:r w:rsidRPr="009F6719">
              <w:rPr>
                <w:rFonts w:cs="AGA Furat Regular"/>
                <w:b/>
                <w:bCs/>
                <w:sz w:val="18"/>
                <w:szCs w:val="18"/>
                <w:rtl/>
              </w:rPr>
              <w:br/>
            </w:r>
          </w:p>
        </w:tc>
        <w:tc>
          <w:tcPr>
            <w:tcW w:w="709" w:type="dxa"/>
            <w:shd w:val="clear" w:color="auto" w:fill="auto"/>
            <w:vAlign w:val="center"/>
          </w:tcPr>
          <w:p w:rsidR="009F6719" w:rsidRPr="009F6719" w:rsidRDefault="009F6719" w:rsidP="009F6719">
            <w:pPr>
              <w:spacing w:after="120"/>
              <w:jc w:val="center"/>
              <w:rPr>
                <w:rFonts w:cs="AL-Hotham" w:hint="cs"/>
                <w:b/>
                <w:bCs/>
                <w:sz w:val="18"/>
                <w:szCs w:val="18"/>
                <w:rtl/>
              </w:rPr>
            </w:pPr>
            <w:r w:rsidRPr="009F6719">
              <w:rPr>
                <w:rFonts w:cs="AL-Hotham" w:hint="cs"/>
                <w:b/>
                <w:bCs/>
                <w:sz w:val="18"/>
                <w:szCs w:val="18"/>
                <w:rtl/>
              </w:rPr>
              <w:t>*</w:t>
            </w:r>
          </w:p>
        </w:tc>
        <w:tc>
          <w:tcPr>
            <w:tcW w:w="2909" w:type="dxa"/>
            <w:shd w:val="clear" w:color="auto" w:fill="auto"/>
            <w:vAlign w:val="center"/>
          </w:tcPr>
          <w:p w:rsidR="009F6719" w:rsidRPr="009F6719" w:rsidRDefault="009F6719" w:rsidP="009F6719">
            <w:pPr>
              <w:spacing w:after="120"/>
              <w:jc w:val="both"/>
              <w:rPr>
                <w:rFonts w:cs="AGA Furat Regular" w:hint="cs"/>
                <w:b/>
                <w:bCs/>
                <w:sz w:val="18"/>
                <w:szCs w:val="18"/>
                <w:rtl/>
              </w:rPr>
            </w:pPr>
            <w:r w:rsidRPr="009F6719">
              <w:rPr>
                <w:rFonts w:cs="AGA Furat Regular"/>
                <w:b/>
                <w:bCs/>
                <w:sz w:val="18"/>
                <w:szCs w:val="18"/>
                <w:rtl/>
                <w:lang w:bidi="ar-SA"/>
              </w:rPr>
              <w:t>لعمر أبيك إلا الفرق داني</w:t>
            </w:r>
            <w:r w:rsidRPr="009F6719">
              <w:rPr>
                <w:rFonts w:cs="AGA Furat Regular"/>
                <w:b/>
                <w:bCs/>
                <w:sz w:val="18"/>
                <w:szCs w:val="18"/>
                <w:rtl/>
                <w:lang w:bidi="ar-SA"/>
              </w:rPr>
              <w:br/>
            </w:r>
          </w:p>
        </w:tc>
      </w:tr>
    </w:tbl>
    <w:p w:rsidR="009F6719" w:rsidRPr="009F6719" w:rsidRDefault="009F6719" w:rsidP="009F6719">
      <w:pPr>
        <w:spacing w:after="120"/>
        <w:jc w:val="both"/>
        <w:rPr>
          <w:rFonts w:ascii="Simplified Arabic" w:hAnsi="Simplified Arabic" w:cs="AL-Hotham" w:hint="cs"/>
          <w:b/>
          <w:bCs/>
          <w:sz w:val="18"/>
          <w:szCs w:val="18"/>
          <w:rtl/>
        </w:rPr>
      </w:pPr>
      <w:r w:rsidRPr="009F6719">
        <w:rPr>
          <w:rFonts w:ascii="Simplified Arabic" w:hAnsi="Simplified Arabic" w:cs="AL-Hotham"/>
          <w:b/>
          <w:bCs/>
          <w:sz w:val="18"/>
          <w:szCs w:val="18"/>
          <w:rtl/>
          <w:lang w:bidi="ar-SA"/>
        </w:rPr>
        <w:t xml:space="preserve">كما احتج بها لبعض القراءات المشهورة، أما رفضه لبعض وجوهها: فتتراوح عباراته فيه بين الغلط، واللحن، والبعد، فقد رمى قراءة أبي جعفر: "للملائكةُ اسجدوا" بالغلط، وقراءة: "ليجزى قوما" باللحن، ووصف قراءة: "لا أقسم" بالقلة، والبعد، وعلل ذلك: بأن اللام لا تدخل على الفعل المستقبل إلا مع النون. </w:t>
      </w:r>
      <w:r w:rsidRPr="009F6719">
        <w:rPr>
          <w:rFonts w:ascii="Simplified Arabic" w:hAnsi="Simplified Arabic" w:cs="AL-Hotham"/>
          <w:b/>
          <w:bCs/>
          <w:sz w:val="18"/>
          <w:szCs w:val="18"/>
          <w:rtl/>
        </w:rPr>
        <w:t xml:space="preserve">فالزجاج نحوي قبل كل شيء، في نظرته إلى القراءات يقبل ويرفض في حدود المذهب النحوي الذي حدده هو قائم في الغالب على لغة القرآن، ولعل خير ما يدل على هذا أنه كان كالنحاة يذكر الوجوه النحوية، ويجيزها في كلام الناس؛ لعلمه أنها ليست قراءات، وهي في معظمها قراءات شاذة، من ذلك: إجازته نصب "الطير" من قوله تعالى: </w:t>
      </w:r>
      <w:r w:rsidRPr="009F6719">
        <w:rPr>
          <w:rFonts w:ascii="Simplified Arabic" w:hAnsi="Simplified Arabic" w:cs="DecoType Thuluth"/>
          <w:b/>
          <w:bCs/>
          <w:sz w:val="18"/>
          <w:szCs w:val="18"/>
          <w:rtl/>
        </w:rPr>
        <w:t>{</w:t>
      </w:r>
      <w:r w:rsidRPr="009F6719">
        <w:rPr>
          <w:rFonts w:ascii="QCF_P355" w:hAnsi="QCF_P355" w:cs="QCF_P355"/>
          <w:b/>
          <w:bCs/>
          <w:sz w:val="18"/>
          <w:szCs w:val="18"/>
          <w:rtl/>
        </w:rPr>
        <w:t>ﯗ ﯘ ﯙ ﯚ ﯛ ﯜ ﯝ ﯞ</w:t>
      </w:r>
      <w:r w:rsidRPr="009F6719">
        <w:rPr>
          <w:rFonts w:ascii="QCF_P355" w:hAnsi="QCF_P355" w:cs="DecoType Thuluth"/>
          <w:b/>
          <w:bCs/>
          <w:sz w:val="18"/>
          <w:szCs w:val="18"/>
          <w:rtl/>
        </w:rPr>
        <w:t>}</w:t>
      </w:r>
      <w:r w:rsidRPr="009F6719">
        <w:rPr>
          <w:rFonts w:ascii="Simplified Arabic" w:hAnsi="Simplified Arabic" w:cs="AL-Hotham"/>
          <w:b/>
          <w:bCs/>
          <w:sz w:val="18"/>
          <w:szCs w:val="18"/>
          <w:rtl/>
        </w:rPr>
        <w:t xml:space="preserve"> [النور: 41] قال: ويجوز "الطيرَ" بمعنى: مع الطير، ولم يقرأ به، والنصب قراءة الأعرج، واليزيدي.</w:t>
      </w:r>
    </w:p>
    <w:p w:rsidR="009F6719" w:rsidRPr="009F6719" w:rsidRDefault="009F6719" w:rsidP="009F6719">
      <w:pPr>
        <w:pStyle w:val="NormalWeb"/>
        <w:bidi/>
        <w:spacing w:before="0" w:beforeAutospacing="0"/>
        <w:jc w:val="lowKashida"/>
        <w:rPr>
          <w:rFonts w:ascii="Simplified Arabic" w:hAnsi="Simplified Arabic" w:cs="AL-Hotham" w:hint="cs"/>
          <w:b/>
          <w:bCs/>
          <w:sz w:val="18"/>
          <w:szCs w:val="18"/>
          <w:lang w:bidi="ar-EG"/>
        </w:rPr>
      </w:pPr>
      <w:r w:rsidRPr="009F6719">
        <w:rPr>
          <w:rFonts w:ascii="Simplified Arabic" w:hAnsi="Simplified Arabic" w:cs="AL-Hotham"/>
          <w:b/>
          <w:bCs/>
          <w:sz w:val="18"/>
          <w:szCs w:val="18"/>
          <w:rtl/>
        </w:rPr>
        <w:t>علي بن سليمان الأخفش:</w:t>
      </w:r>
    </w:p>
    <w:p w:rsidR="009F6719" w:rsidRPr="009F6719" w:rsidRDefault="009F6719" w:rsidP="009F6719">
      <w:pPr>
        <w:pStyle w:val="NormalWeb"/>
        <w:bidi/>
        <w:spacing w:before="0" w:beforeAutospacing="0" w:after="120" w:afterAutospacing="0"/>
        <w:jc w:val="lowKashida"/>
        <w:rPr>
          <w:rFonts w:ascii="Simplified Arabic" w:hAnsi="Simplified Arabic" w:cs="AL-Hotham" w:hint="cs"/>
          <w:b/>
          <w:bCs/>
          <w:sz w:val="18"/>
          <w:szCs w:val="18"/>
          <w:rtl/>
          <w:lang w:bidi="ar-EG"/>
        </w:rPr>
      </w:pPr>
      <w:r w:rsidRPr="009F6719">
        <w:rPr>
          <w:rFonts w:ascii="Simplified Arabic" w:hAnsi="Simplified Arabic" w:cs="AL-Hotham"/>
          <w:b/>
          <w:bCs/>
          <w:sz w:val="18"/>
          <w:szCs w:val="18"/>
          <w:rtl/>
        </w:rPr>
        <w:t>وأما علي بن سليمان الأخفش</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فكان قليل الاشتغال بالقراءات غير متسع في علم</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النحو، وكان حسبه من الشواذ أن ينقل آراء أساتذته البصريين</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في بعض وجوهها،</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فهو ينقل عنهم رفضهم</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لقراءتي</w:t>
      </w:r>
      <w:r w:rsidRPr="009F6719">
        <w:rPr>
          <w:rFonts w:ascii="Simplified Arabic" w:hAnsi="Simplified Arabic" w:cs="AL-Hotham"/>
          <w:b/>
          <w:bCs/>
          <w:sz w:val="18"/>
          <w:szCs w:val="18"/>
          <w:rtl/>
          <w:lang w:bidi="ar-EG"/>
        </w:rPr>
        <w:t>: "</w:t>
      </w:r>
      <w:r w:rsidRPr="009F6719">
        <w:rPr>
          <w:rFonts w:ascii="Simplified Arabic" w:hAnsi="Simplified Arabic" w:cs="AL-Hotham"/>
          <w:b/>
          <w:bCs/>
          <w:sz w:val="18"/>
          <w:szCs w:val="18"/>
          <w:rtl/>
        </w:rPr>
        <w:t>الحمد لُله</w:t>
      </w:r>
      <w:r w:rsidRPr="009F6719">
        <w:rPr>
          <w:rFonts w:ascii="Simplified Arabic" w:hAnsi="Simplified Arabic" w:cs="AL-Hotham"/>
          <w:b/>
          <w:bCs/>
          <w:sz w:val="18"/>
          <w:szCs w:val="18"/>
          <w:rtl/>
          <w:lang w:bidi="ar-EG"/>
        </w:rPr>
        <w:t>"</w:t>
      </w:r>
      <w:r w:rsidRPr="009F6719">
        <w:rPr>
          <w:rFonts w:ascii="Simplified Arabic" w:hAnsi="Simplified Arabic" w:cs="AL-Hotham"/>
          <w:b/>
          <w:bCs/>
          <w:sz w:val="18"/>
          <w:szCs w:val="18"/>
          <w:rtl/>
        </w:rPr>
        <w:t>، و</w:t>
      </w:r>
      <w:r w:rsidRPr="009F6719">
        <w:rPr>
          <w:rFonts w:ascii="Simplified Arabic" w:hAnsi="Simplified Arabic" w:cs="AL-Hotham"/>
          <w:b/>
          <w:bCs/>
          <w:sz w:val="18"/>
          <w:szCs w:val="18"/>
          <w:rtl/>
          <w:lang w:bidi="ar-EG"/>
        </w:rPr>
        <w:t>"</w:t>
      </w:r>
      <w:r w:rsidRPr="009F6719">
        <w:rPr>
          <w:rFonts w:ascii="Simplified Arabic" w:hAnsi="Simplified Arabic" w:cs="AL-Hotham"/>
          <w:b/>
          <w:bCs/>
          <w:sz w:val="18"/>
          <w:szCs w:val="18"/>
          <w:rtl/>
        </w:rPr>
        <w:t>الحمدِ لله</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برفع اللام في الأولى، وكسر الدال في الثانية،</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ولعله يريد بالبصريين أستاذه المبرد الذي يحرص</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على حركة الإعراب حرصًا شديدًا، كما ينقل عن أبي حاتم السجستاني رفضه لقراءة الحسن</w:t>
      </w:r>
      <w:r w:rsidRPr="009F6719">
        <w:rPr>
          <w:rFonts w:ascii="Simplified Arabic" w:hAnsi="Simplified Arabic" w:cs="AL-Hotham"/>
          <w:b/>
          <w:bCs/>
          <w:sz w:val="18"/>
          <w:szCs w:val="18"/>
          <w:rtl/>
          <w:lang w:bidi="ar-EG"/>
        </w:rPr>
        <w:t>: "</w:t>
      </w:r>
      <w:r w:rsidRPr="009F6719">
        <w:rPr>
          <w:rFonts w:ascii="Simplified Arabic" w:hAnsi="Simplified Arabic" w:cs="AL-Hotham"/>
          <w:b/>
          <w:bCs/>
          <w:sz w:val="18"/>
          <w:szCs w:val="18"/>
          <w:rtl/>
        </w:rPr>
        <w:t>وأخذنا الذين ظلموا بعذاب بئس</w:t>
      </w:r>
      <w:r w:rsidRPr="009F6719">
        <w:rPr>
          <w:rFonts w:ascii="Simplified Arabic" w:hAnsi="Simplified Arabic" w:cs="AL-Hotham"/>
          <w:b/>
          <w:bCs/>
          <w:sz w:val="18"/>
          <w:szCs w:val="18"/>
          <w:rtl/>
          <w:lang w:bidi="ar-EG"/>
        </w:rPr>
        <w:t>"</w:t>
      </w:r>
      <w:r w:rsidRPr="009F6719">
        <w:rPr>
          <w:rFonts w:ascii="Simplified Arabic" w:hAnsi="Simplified Arabic" w:cs="AL-Hotham"/>
          <w:b/>
          <w:bCs/>
          <w:sz w:val="18"/>
          <w:szCs w:val="18"/>
          <w:rtl/>
        </w:rPr>
        <w:t xml:space="preserve">، </w:t>
      </w:r>
      <w:r w:rsidRPr="009F6719">
        <w:rPr>
          <w:rFonts w:ascii="Simplified Arabic" w:hAnsi="Simplified Arabic" w:cs="AL-Hotham"/>
          <w:b/>
          <w:bCs/>
          <w:sz w:val="18"/>
          <w:szCs w:val="18"/>
          <w:rtl/>
        </w:rPr>
        <w:lastRenderedPageBreak/>
        <w:t>وقوله فيها: لا يقال: مررت برجل بئس؛ حتى يقال: بئس</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الرجل، أو بئس رجل. وهذا يعني أن علي بن سليمان لم يكن من النحاة المتشددين في قبول</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القراءات الشاذة كالمبرد، والسجستاني</w:t>
      </w:r>
      <w:r w:rsidRPr="009F6719">
        <w:rPr>
          <w:rFonts w:ascii="Simplified Arabic" w:hAnsi="Simplified Arabic" w:cs="AL-Hotham"/>
          <w:b/>
          <w:bCs/>
          <w:sz w:val="18"/>
          <w:szCs w:val="18"/>
          <w:rtl/>
          <w:lang w:bidi="ar-EG"/>
        </w:rPr>
        <w:t>.</w:t>
      </w:r>
    </w:p>
    <w:p w:rsidR="009F6719" w:rsidRPr="009F6719" w:rsidRDefault="009F6719" w:rsidP="009F6719">
      <w:pPr>
        <w:pStyle w:val="NormalWeb"/>
        <w:bidi/>
        <w:spacing w:before="0" w:beforeAutospacing="0"/>
        <w:jc w:val="lowKashida"/>
        <w:rPr>
          <w:rFonts w:ascii="Simplified Arabic" w:hAnsi="Simplified Arabic" w:cs="AL-Hotham" w:hint="cs"/>
          <w:b/>
          <w:bCs/>
          <w:sz w:val="18"/>
          <w:szCs w:val="18"/>
          <w:rtl/>
        </w:rPr>
      </w:pPr>
      <w:r w:rsidRPr="009F6719">
        <w:rPr>
          <w:rFonts w:ascii="Simplified Arabic" w:hAnsi="Simplified Arabic" w:cs="AL-Hotham"/>
          <w:b/>
          <w:bCs/>
          <w:sz w:val="18"/>
          <w:szCs w:val="18"/>
          <w:rtl/>
        </w:rPr>
        <w:t>ابن السراج:</w:t>
      </w:r>
    </w:p>
    <w:p w:rsidR="009F6719" w:rsidRPr="009F6719" w:rsidRDefault="009F6719" w:rsidP="009F6719">
      <w:pPr>
        <w:pStyle w:val="NormalWeb"/>
        <w:bidi/>
        <w:spacing w:before="0" w:beforeAutospacing="0" w:after="120" w:afterAutospacing="0"/>
        <w:jc w:val="lowKashida"/>
        <w:rPr>
          <w:rFonts w:ascii="Simplified Arabic" w:hAnsi="Simplified Arabic" w:cs="AL-Hotham"/>
          <w:b/>
          <w:bCs/>
          <w:sz w:val="18"/>
          <w:szCs w:val="18"/>
          <w:lang w:bidi="ar-EG"/>
        </w:rPr>
      </w:pPr>
      <w:r w:rsidRPr="009F6719">
        <w:rPr>
          <w:rFonts w:ascii="Simplified Arabic" w:hAnsi="Simplified Arabic" w:cs="AL-Hotham"/>
          <w:b/>
          <w:bCs/>
          <w:sz w:val="18"/>
          <w:szCs w:val="18"/>
          <w:rtl/>
        </w:rPr>
        <w:t>وأما ابن السراج: فكان أكثر اعتدالًا من سلفيه</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المبرد، والزجاج، رغم اعتداده الشديد لمقياسه النحوي وأصوله، فقد وصف الأصمعي رواية</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أبي عمرو بعدم الضبط؛ لأنه روى عنه الصراط، قال: فأحسب الأصمعي لم يضبط؛ لأنه كان غير</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نحوي</w:t>
      </w:r>
      <w:r w:rsidRPr="009F6719">
        <w:rPr>
          <w:rFonts w:ascii="Simplified Arabic" w:hAnsi="Simplified Arabic" w:cs="AL-Hotham"/>
          <w:b/>
          <w:bCs/>
          <w:sz w:val="18"/>
          <w:szCs w:val="18"/>
          <w:rtl/>
          <w:lang w:bidi="ar-EG"/>
        </w:rPr>
        <w:t xml:space="preserve">. </w:t>
      </w:r>
    </w:p>
    <w:p w:rsidR="009F6719" w:rsidRPr="009F6719" w:rsidRDefault="009F6719" w:rsidP="009F6719">
      <w:pPr>
        <w:pStyle w:val="NormalWeb"/>
        <w:bidi/>
        <w:spacing w:before="0" w:beforeAutospacing="0" w:after="120" w:afterAutospacing="0"/>
        <w:jc w:val="lowKashida"/>
        <w:rPr>
          <w:rFonts w:ascii="Simplified Arabic" w:hAnsi="Simplified Arabic" w:cs="AL-Hotham"/>
          <w:b/>
          <w:bCs/>
          <w:sz w:val="18"/>
          <w:szCs w:val="18"/>
          <w:lang w:bidi="ar-EG"/>
        </w:rPr>
      </w:pPr>
      <w:r w:rsidRPr="009F6719">
        <w:rPr>
          <w:rFonts w:ascii="Simplified Arabic" w:hAnsi="Simplified Arabic" w:cs="AL-Hotham"/>
          <w:b/>
          <w:bCs/>
          <w:sz w:val="18"/>
          <w:szCs w:val="18"/>
          <w:rtl/>
        </w:rPr>
        <w:t>أما في القراءة الشاذة: فذهب مع المبرد إلى إعمال</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إن</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المخففة عمل</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ليس</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في قراءة</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سعيد بن جبير</w:t>
      </w:r>
      <w:r w:rsidRPr="009F6719">
        <w:rPr>
          <w:rFonts w:ascii="Simplified Arabic" w:hAnsi="Simplified Arabic" w:cs="AL-Hotham"/>
          <w:b/>
          <w:bCs/>
          <w:sz w:val="18"/>
          <w:szCs w:val="18"/>
          <w:rtl/>
          <w:lang w:bidi="ar-EG"/>
        </w:rPr>
        <w:t>: "</w:t>
      </w:r>
      <w:r w:rsidRPr="009F6719">
        <w:rPr>
          <w:rFonts w:ascii="Simplified Arabic" w:hAnsi="Simplified Arabic" w:cs="AL-Hotham"/>
          <w:b/>
          <w:bCs/>
          <w:sz w:val="18"/>
          <w:szCs w:val="18"/>
          <w:rtl/>
        </w:rPr>
        <w:t>إن الذين تدعون من دون الله عبادًا أمثالكم</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بنصب</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عباد</w:t>
      </w:r>
      <w:r w:rsidRPr="009F6719">
        <w:rPr>
          <w:rFonts w:ascii="Simplified Arabic" w:hAnsi="Simplified Arabic" w:cs="AL-Hotham"/>
          <w:b/>
          <w:bCs/>
          <w:sz w:val="18"/>
          <w:szCs w:val="18"/>
          <w:rtl/>
          <w:lang w:bidi="ar-EG"/>
        </w:rPr>
        <w:t>"</w:t>
      </w:r>
      <w:r w:rsidRPr="009F6719">
        <w:rPr>
          <w:rFonts w:ascii="Simplified Arabic" w:hAnsi="Simplified Arabic" w:cs="AL-Hotham"/>
          <w:b/>
          <w:bCs/>
          <w:sz w:val="18"/>
          <w:szCs w:val="18"/>
          <w:rtl/>
        </w:rPr>
        <w:t>، وأجاز مع الجرمي نصب</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أيهم</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من قوله</w:t>
      </w:r>
      <w:r w:rsidRPr="009F6719">
        <w:rPr>
          <w:rFonts w:ascii="Simplified Arabic" w:hAnsi="Simplified Arabic" w:cs="AL-Hotham"/>
          <w:b/>
          <w:bCs/>
          <w:sz w:val="18"/>
          <w:szCs w:val="18"/>
          <w:rtl/>
          <w:lang w:bidi="ar-EG"/>
        </w:rPr>
        <w:t>: "</w:t>
      </w:r>
      <w:r w:rsidRPr="009F6719">
        <w:rPr>
          <w:rFonts w:ascii="Simplified Arabic" w:hAnsi="Simplified Arabic" w:cs="AL-Hotham"/>
          <w:b/>
          <w:bCs/>
          <w:sz w:val="18"/>
          <w:szCs w:val="18"/>
          <w:rtl/>
        </w:rPr>
        <w:t>لننزعن من كل شيعة أيَّهم أشد على الرحمن عتيا</w:t>
      </w:r>
      <w:r w:rsidRPr="009F6719">
        <w:rPr>
          <w:rFonts w:ascii="Simplified Arabic" w:hAnsi="Simplified Arabic" w:cs="AL-Hotham"/>
          <w:b/>
          <w:bCs/>
          <w:sz w:val="18"/>
          <w:szCs w:val="18"/>
          <w:rtl/>
          <w:lang w:bidi="ar-EG"/>
        </w:rPr>
        <w:t>".</w:t>
      </w:r>
    </w:p>
    <w:p w:rsidR="009F6719" w:rsidRPr="009F6719" w:rsidRDefault="009F6719" w:rsidP="009F6719">
      <w:pPr>
        <w:pStyle w:val="NormalWeb"/>
        <w:bidi/>
        <w:spacing w:before="0" w:beforeAutospacing="0" w:after="120" w:afterAutospacing="0"/>
        <w:jc w:val="lowKashida"/>
        <w:rPr>
          <w:rFonts w:ascii="Simplified Arabic" w:hAnsi="Simplified Arabic" w:cs="AL-Hotham"/>
          <w:b/>
          <w:bCs/>
          <w:sz w:val="18"/>
          <w:szCs w:val="18"/>
          <w:lang w:bidi="ar-EG"/>
        </w:rPr>
      </w:pPr>
      <w:r w:rsidRPr="009F6719">
        <w:rPr>
          <w:rFonts w:ascii="Simplified Arabic" w:hAnsi="Simplified Arabic" w:cs="AL-Hotham"/>
          <w:b/>
          <w:bCs/>
          <w:sz w:val="18"/>
          <w:szCs w:val="18"/>
          <w:rtl/>
        </w:rPr>
        <w:t>وفي الربع الثاني من هذا القرن تستوقفنا آراء طائفة أخرى</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من النحاة انتهى إليهم علم القراءة والنحو، فطارت شهرتهم في الأمصار، وكان منهم: ابن</w:t>
      </w:r>
      <w:r w:rsidRPr="009F6719">
        <w:rPr>
          <w:rFonts w:ascii="Simplified Arabic" w:hAnsi="Simplified Arabic" w:cs="AL-Hotham"/>
          <w:b/>
          <w:bCs/>
          <w:sz w:val="18"/>
          <w:szCs w:val="18"/>
          <w:rtl/>
          <w:lang w:bidi="ar-EG"/>
        </w:rPr>
        <w:t xml:space="preserve"> </w:t>
      </w:r>
      <w:r w:rsidRPr="009F6719">
        <w:rPr>
          <w:rFonts w:ascii="Simplified Arabic" w:hAnsi="Simplified Arabic" w:cs="AL-Hotham"/>
          <w:b/>
          <w:bCs/>
          <w:sz w:val="18"/>
          <w:szCs w:val="18"/>
          <w:rtl/>
        </w:rPr>
        <w:t>مجاهد، وابن الأنباري، والزجاج</w:t>
      </w:r>
      <w:r w:rsidRPr="009F6719">
        <w:rPr>
          <w:rFonts w:ascii="Simplified Arabic" w:hAnsi="Simplified Arabic" w:cs="AL-Hotham"/>
          <w:b/>
          <w:bCs/>
          <w:sz w:val="18"/>
          <w:szCs w:val="18"/>
          <w:rtl/>
          <w:lang w:bidi="ar-EG"/>
        </w:rPr>
        <w:t>.</w:t>
      </w:r>
    </w:p>
    <w:p w:rsidR="009F6719" w:rsidRPr="009F6719" w:rsidRDefault="009F6719" w:rsidP="009F6719">
      <w:pPr>
        <w:pStyle w:val="NormalWeb"/>
        <w:bidi/>
        <w:spacing w:before="0" w:beforeAutospacing="0" w:after="120" w:afterAutospacing="0"/>
        <w:jc w:val="center"/>
        <w:rPr>
          <w:rFonts w:cs="AL-Hotham" w:hint="cs"/>
          <w:b/>
          <w:bCs/>
          <w:sz w:val="18"/>
          <w:szCs w:val="18"/>
          <w:rtl/>
        </w:rPr>
      </w:pPr>
    </w:p>
    <w:p w:rsidR="009F6719" w:rsidRPr="009F6719" w:rsidRDefault="009F6719" w:rsidP="009F6719">
      <w:pPr>
        <w:jc w:val="lowKashida"/>
        <w:rPr>
          <w:rFonts w:asciiTheme="majorBidi" w:hAnsiTheme="majorBidi" w:cstheme="majorBidi" w:hint="cs"/>
          <w:b/>
          <w:bCs/>
          <w:sz w:val="18"/>
          <w:szCs w:val="18"/>
        </w:rPr>
      </w:pPr>
      <w:r w:rsidRPr="009F6719">
        <w:rPr>
          <w:rFonts w:asciiTheme="majorBidi" w:hAnsiTheme="majorBidi" w:cstheme="majorBidi" w:hint="cs"/>
          <w:b/>
          <w:bCs/>
          <w:sz w:val="18"/>
          <w:szCs w:val="18"/>
          <w:rtl/>
        </w:rPr>
        <w:t>المراجع والمصادر</w:t>
      </w:r>
    </w:p>
    <w:p w:rsidR="009F6719" w:rsidRPr="009F6719" w:rsidRDefault="009F6719" w:rsidP="009F6719">
      <w:pPr>
        <w:numPr>
          <w:ilvl w:val="0"/>
          <w:numId w:val="1"/>
        </w:numPr>
        <w:jc w:val="lowKashida"/>
        <w:rPr>
          <w:rFonts w:asciiTheme="majorBidi" w:hAnsiTheme="majorBidi" w:cstheme="majorBidi"/>
          <w:b/>
          <w:bCs/>
          <w:sz w:val="18"/>
          <w:szCs w:val="18"/>
        </w:rPr>
      </w:pPr>
      <w:r w:rsidRPr="009F6719">
        <w:rPr>
          <w:rFonts w:asciiTheme="majorBidi" w:hAnsiTheme="majorBidi" w:cstheme="majorBidi"/>
          <w:b/>
          <w:bCs/>
          <w:sz w:val="18"/>
          <w:szCs w:val="18"/>
          <w:rtl/>
        </w:rPr>
        <w:t xml:space="preserve">(المحتسب في تبيين وجوه شواذ القراءات والإيضاح عنها) </w:t>
      </w:r>
    </w:p>
    <w:p w:rsidR="009F6719" w:rsidRPr="009F6719" w:rsidRDefault="009F6719" w:rsidP="009F6719">
      <w:pPr>
        <w:ind w:left="463"/>
        <w:jc w:val="lowKashida"/>
        <w:rPr>
          <w:rFonts w:asciiTheme="majorBidi" w:hAnsiTheme="majorBidi" w:cstheme="majorBidi"/>
          <w:b/>
          <w:bCs/>
          <w:sz w:val="18"/>
          <w:szCs w:val="18"/>
        </w:rPr>
      </w:pPr>
      <w:r w:rsidRPr="009F6719">
        <w:rPr>
          <w:rFonts w:asciiTheme="majorBidi" w:hAnsiTheme="majorBidi" w:cstheme="majorBidi"/>
          <w:b/>
          <w:bCs/>
          <w:sz w:val="18"/>
          <w:szCs w:val="18"/>
          <w:rtl/>
        </w:rPr>
        <w:t>أبو الفتح عثمان بن جني،  بتحقيق علي النجدي ناصف وزميليه، القاهرة، طبعة المجلس الأعلى للشئون الإسلامية، 1994م</w:t>
      </w:r>
    </w:p>
    <w:p w:rsidR="009F6719" w:rsidRPr="009F6719" w:rsidRDefault="009F6719" w:rsidP="009F6719">
      <w:pPr>
        <w:numPr>
          <w:ilvl w:val="0"/>
          <w:numId w:val="1"/>
        </w:numPr>
        <w:jc w:val="lowKashida"/>
        <w:rPr>
          <w:rFonts w:asciiTheme="majorBidi" w:hAnsiTheme="majorBidi" w:cstheme="majorBidi"/>
          <w:b/>
          <w:bCs/>
          <w:sz w:val="18"/>
          <w:szCs w:val="18"/>
        </w:rPr>
      </w:pPr>
      <w:r w:rsidRPr="009F6719">
        <w:rPr>
          <w:rFonts w:asciiTheme="majorBidi" w:hAnsiTheme="majorBidi" w:cstheme="majorBidi"/>
          <w:b/>
          <w:bCs/>
          <w:sz w:val="18"/>
          <w:szCs w:val="18"/>
          <w:rtl/>
        </w:rPr>
        <w:t xml:space="preserve">(مرشد الأعزة في بيان موقف العلماء من القراءات الشاذة) </w:t>
      </w:r>
    </w:p>
    <w:p w:rsidR="009F6719" w:rsidRPr="009F6719" w:rsidRDefault="009F6719" w:rsidP="009F6719">
      <w:pPr>
        <w:ind w:left="284" w:firstLine="283"/>
        <w:jc w:val="lowKashida"/>
        <w:rPr>
          <w:rFonts w:asciiTheme="majorBidi" w:hAnsiTheme="majorBidi" w:cstheme="majorBidi"/>
          <w:b/>
          <w:bCs/>
          <w:sz w:val="18"/>
          <w:szCs w:val="18"/>
        </w:rPr>
      </w:pPr>
      <w:r w:rsidRPr="009F6719">
        <w:rPr>
          <w:rFonts w:asciiTheme="majorBidi" w:hAnsiTheme="majorBidi" w:cstheme="majorBidi"/>
          <w:b/>
          <w:bCs/>
          <w:sz w:val="18"/>
          <w:szCs w:val="18"/>
          <w:rtl/>
        </w:rPr>
        <w:t>عبد الكريم إبراهيم صالح،  دار المحدثين, 2006م</w:t>
      </w:r>
    </w:p>
    <w:p w:rsidR="009F6719" w:rsidRPr="009F6719" w:rsidRDefault="009F6719" w:rsidP="009F6719">
      <w:pPr>
        <w:numPr>
          <w:ilvl w:val="0"/>
          <w:numId w:val="1"/>
        </w:numPr>
        <w:jc w:val="lowKashida"/>
        <w:rPr>
          <w:rFonts w:asciiTheme="majorBidi" w:hAnsiTheme="majorBidi" w:cstheme="majorBidi"/>
          <w:b/>
          <w:bCs/>
          <w:sz w:val="18"/>
          <w:szCs w:val="18"/>
        </w:rPr>
      </w:pPr>
      <w:r w:rsidRPr="009F6719">
        <w:rPr>
          <w:rFonts w:asciiTheme="majorBidi" w:hAnsiTheme="majorBidi" w:cstheme="majorBidi"/>
          <w:b/>
          <w:bCs/>
          <w:sz w:val="18"/>
          <w:szCs w:val="18"/>
        </w:rPr>
        <w:t>)</w:t>
      </w:r>
      <w:r w:rsidRPr="009F6719">
        <w:rPr>
          <w:rFonts w:asciiTheme="majorBidi" w:hAnsiTheme="majorBidi" w:cstheme="majorBidi"/>
          <w:b/>
          <w:bCs/>
          <w:sz w:val="18"/>
          <w:szCs w:val="18"/>
          <w:rtl/>
        </w:rPr>
        <w:t xml:space="preserve">إعراب القراءات الشواذ) </w:t>
      </w:r>
    </w:p>
    <w:p w:rsidR="009F6719" w:rsidRPr="009F6719" w:rsidRDefault="009F6719" w:rsidP="009F6719">
      <w:pPr>
        <w:ind w:left="567"/>
        <w:jc w:val="lowKashida"/>
        <w:rPr>
          <w:rFonts w:asciiTheme="majorBidi" w:hAnsiTheme="majorBidi" w:cstheme="majorBidi"/>
          <w:b/>
          <w:bCs/>
          <w:sz w:val="18"/>
          <w:szCs w:val="18"/>
        </w:rPr>
      </w:pPr>
      <w:r w:rsidRPr="009F6719">
        <w:rPr>
          <w:rFonts w:asciiTheme="majorBidi" w:hAnsiTheme="majorBidi" w:cstheme="majorBidi"/>
          <w:b/>
          <w:bCs/>
          <w:sz w:val="18"/>
          <w:szCs w:val="18"/>
          <w:rtl/>
        </w:rPr>
        <w:t>أبو البقاء العكبري،  بتحقيق محمد السيد أحمد عزوز،  عالم الكتب, 1996م</w:t>
      </w:r>
    </w:p>
    <w:p w:rsidR="009F6719" w:rsidRPr="009F6719" w:rsidRDefault="009F6719" w:rsidP="009F6719">
      <w:pPr>
        <w:numPr>
          <w:ilvl w:val="0"/>
          <w:numId w:val="1"/>
        </w:numPr>
        <w:jc w:val="lowKashida"/>
        <w:rPr>
          <w:rFonts w:asciiTheme="majorBidi" w:hAnsiTheme="majorBidi" w:cstheme="majorBidi"/>
          <w:b/>
          <w:bCs/>
          <w:sz w:val="18"/>
          <w:szCs w:val="18"/>
        </w:rPr>
      </w:pPr>
      <w:r w:rsidRPr="009F6719">
        <w:rPr>
          <w:rFonts w:asciiTheme="majorBidi" w:hAnsiTheme="majorBidi" w:cstheme="majorBidi"/>
          <w:b/>
          <w:bCs/>
          <w:sz w:val="18"/>
          <w:szCs w:val="18"/>
          <w:rtl/>
        </w:rPr>
        <w:t xml:space="preserve">(الاختلاف بين القراءات) </w:t>
      </w:r>
    </w:p>
    <w:p w:rsidR="009F6719" w:rsidRPr="009F6719" w:rsidRDefault="009F6719" w:rsidP="009F6719">
      <w:pPr>
        <w:ind w:left="284" w:firstLine="283"/>
        <w:jc w:val="lowKashida"/>
        <w:rPr>
          <w:rFonts w:asciiTheme="majorBidi" w:hAnsiTheme="majorBidi" w:cstheme="majorBidi"/>
          <w:b/>
          <w:bCs/>
          <w:sz w:val="18"/>
          <w:szCs w:val="18"/>
        </w:rPr>
      </w:pPr>
      <w:r w:rsidRPr="009F6719">
        <w:rPr>
          <w:rFonts w:asciiTheme="majorBidi" w:hAnsiTheme="majorBidi" w:cstheme="majorBidi"/>
          <w:b/>
          <w:bCs/>
          <w:sz w:val="18"/>
          <w:szCs w:val="18"/>
          <w:rtl/>
        </w:rPr>
        <w:t>أحمد البيلي،  بيروت، دار الجبل، 1988م</w:t>
      </w:r>
    </w:p>
    <w:p w:rsidR="009F6719" w:rsidRPr="009F6719" w:rsidRDefault="009F6719" w:rsidP="009F6719">
      <w:pPr>
        <w:numPr>
          <w:ilvl w:val="0"/>
          <w:numId w:val="1"/>
        </w:numPr>
        <w:jc w:val="lowKashida"/>
        <w:rPr>
          <w:rFonts w:asciiTheme="majorBidi" w:hAnsiTheme="majorBidi" w:cstheme="majorBidi"/>
          <w:b/>
          <w:bCs/>
          <w:sz w:val="18"/>
          <w:szCs w:val="18"/>
        </w:rPr>
      </w:pPr>
      <w:r w:rsidRPr="009F6719">
        <w:rPr>
          <w:rFonts w:asciiTheme="majorBidi" w:hAnsiTheme="majorBidi" w:cstheme="majorBidi"/>
          <w:b/>
          <w:bCs/>
          <w:sz w:val="18"/>
          <w:szCs w:val="18"/>
          <w:rtl/>
        </w:rPr>
        <w:t xml:space="preserve">(القراءات الشاذة وتوجيهها النحوي) </w:t>
      </w:r>
    </w:p>
    <w:p w:rsidR="009F6719" w:rsidRPr="009F6719" w:rsidRDefault="009F6719" w:rsidP="009F6719">
      <w:pPr>
        <w:ind w:left="284" w:firstLine="283"/>
        <w:jc w:val="lowKashida"/>
        <w:rPr>
          <w:rFonts w:asciiTheme="majorBidi" w:hAnsiTheme="majorBidi" w:cstheme="majorBidi"/>
          <w:b/>
          <w:bCs/>
          <w:sz w:val="18"/>
          <w:szCs w:val="18"/>
        </w:rPr>
      </w:pPr>
      <w:r w:rsidRPr="009F6719">
        <w:rPr>
          <w:rFonts w:asciiTheme="majorBidi" w:hAnsiTheme="majorBidi" w:cstheme="majorBidi"/>
          <w:b/>
          <w:bCs/>
          <w:sz w:val="18"/>
          <w:szCs w:val="18"/>
          <w:rtl/>
        </w:rPr>
        <w:t>محمود أحمد الصغير، بيروت، دار الفكر المعاصر, 1999م</w:t>
      </w:r>
    </w:p>
    <w:p w:rsidR="009F6719" w:rsidRPr="009F6719" w:rsidRDefault="009F6719" w:rsidP="009F6719">
      <w:pPr>
        <w:numPr>
          <w:ilvl w:val="0"/>
          <w:numId w:val="1"/>
        </w:numPr>
        <w:jc w:val="lowKashida"/>
        <w:rPr>
          <w:rFonts w:asciiTheme="majorBidi" w:hAnsiTheme="majorBidi" w:cstheme="majorBidi"/>
          <w:b/>
          <w:bCs/>
          <w:sz w:val="18"/>
          <w:szCs w:val="18"/>
        </w:rPr>
      </w:pPr>
      <w:r w:rsidRPr="009F6719">
        <w:rPr>
          <w:rFonts w:asciiTheme="majorBidi" w:hAnsiTheme="majorBidi" w:cstheme="majorBidi"/>
          <w:b/>
          <w:bCs/>
          <w:sz w:val="18"/>
          <w:szCs w:val="18"/>
          <w:rtl/>
        </w:rPr>
        <w:t xml:space="preserve">(كتاب المصاحف) </w:t>
      </w:r>
    </w:p>
    <w:p w:rsidR="009F6719" w:rsidRPr="009F6719" w:rsidRDefault="009F6719" w:rsidP="009F6719">
      <w:pPr>
        <w:ind w:left="567"/>
        <w:jc w:val="lowKashida"/>
        <w:rPr>
          <w:rFonts w:asciiTheme="majorBidi" w:hAnsiTheme="majorBidi" w:cstheme="majorBidi"/>
          <w:b/>
          <w:bCs/>
          <w:sz w:val="18"/>
          <w:szCs w:val="18"/>
        </w:rPr>
      </w:pPr>
      <w:r w:rsidRPr="009F6719">
        <w:rPr>
          <w:rFonts w:asciiTheme="majorBidi" w:hAnsiTheme="majorBidi" w:cstheme="majorBidi"/>
          <w:b/>
          <w:bCs/>
          <w:sz w:val="18"/>
          <w:szCs w:val="18"/>
          <w:rtl/>
        </w:rPr>
        <w:t>أبو بكر عبد الله بن أبي داود سليمان بن الأشعث السجستاني، بيروت، دار الكتب العلمية, 1985م</w:t>
      </w:r>
    </w:p>
    <w:p w:rsidR="009F6719" w:rsidRPr="009F6719" w:rsidRDefault="009F6719" w:rsidP="009F6719">
      <w:pPr>
        <w:numPr>
          <w:ilvl w:val="0"/>
          <w:numId w:val="1"/>
        </w:numPr>
        <w:jc w:val="lowKashida"/>
        <w:rPr>
          <w:rFonts w:asciiTheme="majorBidi" w:hAnsiTheme="majorBidi" w:cstheme="majorBidi"/>
          <w:b/>
          <w:bCs/>
          <w:sz w:val="18"/>
          <w:szCs w:val="18"/>
        </w:rPr>
      </w:pPr>
      <w:r w:rsidRPr="009F6719">
        <w:rPr>
          <w:rFonts w:asciiTheme="majorBidi" w:hAnsiTheme="majorBidi" w:cstheme="majorBidi"/>
          <w:b/>
          <w:bCs/>
          <w:sz w:val="18"/>
          <w:szCs w:val="18"/>
          <w:rtl/>
        </w:rPr>
        <w:t xml:space="preserve">(مختصر في شواذ القران من كتاب البديع أو القراءات الشاذة) </w:t>
      </w:r>
    </w:p>
    <w:p w:rsidR="009F6719" w:rsidRPr="009F6719" w:rsidRDefault="009F6719" w:rsidP="009F6719">
      <w:pPr>
        <w:ind w:left="284" w:firstLine="283"/>
        <w:jc w:val="lowKashida"/>
        <w:rPr>
          <w:rFonts w:asciiTheme="majorBidi" w:hAnsiTheme="majorBidi" w:cstheme="majorBidi"/>
          <w:b/>
          <w:bCs/>
          <w:sz w:val="18"/>
          <w:szCs w:val="18"/>
        </w:rPr>
      </w:pPr>
      <w:r w:rsidRPr="009F6719">
        <w:rPr>
          <w:rFonts w:asciiTheme="majorBidi" w:hAnsiTheme="majorBidi" w:cstheme="majorBidi"/>
          <w:b/>
          <w:bCs/>
          <w:sz w:val="18"/>
          <w:szCs w:val="18"/>
          <w:rtl/>
        </w:rPr>
        <w:t>الحسين بن احمد ابن خالويه، دار الهجرة،  1934م</w:t>
      </w:r>
    </w:p>
    <w:p w:rsidR="009F6719" w:rsidRPr="009F6719" w:rsidRDefault="009F6719" w:rsidP="009F6719">
      <w:pPr>
        <w:numPr>
          <w:ilvl w:val="0"/>
          <w:numId w:val="1"/>
        </w:numPr>
        <w:jc w:val="lowKashida"/>
        <w:rPr>
          <w:rFonts w:asciiTheme="majorBidi" w:hAnsiTheme="majorBidi" w:cstheme="majorBidi"/>
          <w:b/>
          <w:bCs/>
          <w:sz w:val="18"/>
          <w:szCs w:val="18"/>
        </w:rPr>
      </w:pPr>
      <w:r w:rsidRPr="009F6719">
        <w:rPr>
          <w:rFonts w:asciiTheme="majorBidi" w:hAnsiTheme="majorBidi" w:cstheme="majorBidi"/>
          <w:b/>
          <w:bCs/>
          <w:sz w:val="18"/>
          <w:szCs w:val="18"/>
          <w:rtl/>
        </w:rPr>
        <w:t xml:space="preserve">(القراءات القرآنية في بلاد الشام) </w:t>
      </w:r>
    </w:p>
    <w:p w:rsidR="009F6719" w:rsidRPr="009F6719" w:rsidRDefault="009F6719" w:rsidP="009F6719">
      <w:pPr>
        <w:ind w:left="284" w:firstLine="283"/>
        <w:jc w:val="lowKashida"/>
        <w:rPr>
          <w:rFonts w:asciiTheme="majorBidi" w:hAnsiTheme="majorBidi" w:cstheme="majorBidi"/>
          <w:b/>
          <w:bCs/>
          <w:sz w:val="18"/>
          <w:szCs w:val="18"/>
        </w:rPr>
      </w:pPr>
      <w:r w:rsidRPr="009F6719">
        <w:rPr>
          <w:rFonts w:asciiTheme="majorBidi" w:hAnsiTheme="majorBidi" w:cstheme="majorBidi"/>
          <w:b/>
          <w:bCs/>
          <w:sz w:val="18"/>
          <w:szCs w:val="18"/>
          <w:rtl/>
        </w:rPr>
        <w:t>حسين عطوان، بيروت، دار الجيل, 1982م</w:t>
      </w:r>
    </w:p>
    <w:p w:rsidR="009F6719" w:rsidRPr="009F6719" w:rsidRDefault="009F6719" w:rsidP="009F6719">
      <w:pPr>
        <w:numPr>
          <w:ilvl w:val="0"/>
          <w:numId w:val="1"/>
        </w:numPr>
        <w:jc w:val="lowKashida"/>
        <w:rPr>
          <w:rFonts w:asciiTheme="majorBidi" w:hAnsiTheme="majorBidi" w:cstheme="majorBidi"/>
          <w:b/>
          <w:bCs/>
          <w:sz w:val="18"/>
          <w:szCs w:val="18"/>
        </w:rPr>
      </w:pPr>
      <w:r w:rsidRPr="009F6719">
        <w:rPr>
          <w:rFonts w:asciiTheme="majorBidi" w:hAnsiTheme="majorBidi" w:cstheme="majorBidi"/>
          <w:b/>
          <w:bCs/>
          <w:sz w:val="18"/>
          <w:szCs w:val="18"/>
          <w:rtl/>
        </w:rPr>
        <w:t xml:space="preserve">(القراءات الشاذة وتوجيهها من لغة العرب) </w:t>
      </w:r>
    </w:p>
    <w:p w:rsidR="009F6719" w:rsidRPr="009F6719" w:rsidRDefault="009F6719" w:rsidP="009F6719">
      <w:pPr>
        <w:ind w:left="284" w:firstLine="283"/>
        <w:jc w:val="lowKashida"/>
        <w:rPr>
          <w:rFonts w:asciiTheme="majorBidi" w:hAnsiTheme="majorBidi" w:cstheme="majorBidi"/>
          <w:b/>
          <w:bCs/>
          <w:sz w:val="18"/>
          <w:szCs w:val="18"/>
        </w:rPr>
      </w:pPr>
      <w:r w:rsidRPr="009F6719">
        <w:rPr>
          <w:rFonts w:asciiTheme="majorBidi" w:hAnsiTheme="majorBidi" w:cstheme="majorBidi"/>
          <w:b/>
          <w:bCs/>
          <w:sz w:val="18"/>
          <w:szCs w:val="18"/>
          <w:rtl/>
        </w:rPr>
        <w:t>عبد الفتاح القاضي، الهيئة العامة لشئون المطابع الأميرية، 1975م</w:t>
      </w:r>
    </w:p>
    <w:p w:rsidR="009F6719" w:rsidRPr="009F6719" w:rsidRDefault="009F6719" w:rsidP="009F6719">
      <w:pPr>
        <w:numPr>
          <w:ilvl w:val="0"/>
          <w:numId w:val="1"/>
        </w:numPr>
        <w:jc w:val="lowKashida"/>
        <w:rPr>
          <w:rFonts w:asciiTheme="majorBidi" w:hAnsiTheme="majorBidi" w:cstheme="majorBidi"/>
          <w:b/>
          <w:bCs/>
          <w:sz w:val="18"/>
          <w:szCs w:val="18"/>
        </w:rPr>
      </w:pPr>
      <w:r w:rsidRPr="009F6719">
        <w:rPr>
          <w:rFonts w:asciiTheme="majorBidi" w:hAnsiTheme="majorBidi" w:cstheme="majorBidi"/>
          <w:b/>
          <w:bCs/>
          <w:sz w:val="18"/>
          <w:szCs w:val="18"/>
          <w:rtl/>
        </w:rPr>
        <w:t xml:space="preserve">(اليزيدي القارئ النحوي دراسة نحوية قرآنية) </w:t>
      </w:r>
    </w:p>
    <w:p w:rsidR="009F6719" w:rsidRPr="009F6719" w:rsidRDefault="009F6719" w:rsidP="009F6719">
      <w:pPr>
        <w:ind w:left="284" w:firstLine="283"/>
        <w:jc w:val="lowKashida"/>
        <w:rPr>
          <w:rFonts w:asciiTheme="majorBidi" w:hAnsiTheme="majorBidi" w:cstheme="majorBidi"/>
          <w:b/>
          <w:bCs/>
          <w:sz w:val="18"/>
          <w:szCs w:val="18"/>
        </w:rPr>
      </w:pPr>
      <w:r w:rsidRPr="009F6719">
        <w:rPr>
          <w:rFonts w:asciiTheme="majorBidi" w:hAnsiTheme="majorBidi" w:cstheme="majorBidi"/>
          <w:b/>
          <w:bCs/>
          <w:sz w:val="18"/>
          <w:szCs w:val="18"/>
          <w:rtl/>
        </w:rPr>
        <w:t>محمد أحمد علي سحلول ،  دار الحسين الإسلامية, 1989م.</w:t>
      </w:r>
    </w:p>
    <w:p w:rsidR="009F6719" w:rsidRPr="009F6719" w:rsidRDefault="009F6719" w:rsidP="009F6719">
      <w:pPr>
        <w:numPr>
          <w:ilvl w:val="0"/>
          <w:numId w:val="1"/>
        </w:numPr>
        <w:jc w:val="lowKashida"/>
        <w:rPr>
          <w:rFonts w:asciiTheme="majorBidi" w:hAnsiTheme="majorBidi" w:cstheme="majorBidi"/>
          <w:b/>
          <w:bCs/>
          <w:sz w:val="18"/>
          <w:szCs w:val="18"/>
        </w:rPr>
      </w:pPr>
      <w:r w:rsidRPr="009F6719">
        <w:rPr>
          <w:rFonts w:asciiTheme="majorBidi" w:hAnsiTheme="majorBidi" w:cstheme="majorBidi"/>
          <w:b/>
          <w:bCs/>
          <w:sz w:val="18"/>
          <w:szCs w:val="18"/>
          <w:rtl/>
        </w:rPr>
        <w:t xml:space="preserve">(شواهد القراءات بين ابن هشام وابن عقيل، دراسة نحوية تحليلية) </w:t>
      </w:r>
    </w:p>
    <w:p w:rsidR="009F6719" w:rsidRPr="009F6719" w:rsidRDefault="009F6719" w:rsidP="009F6719">
      <w:pPr>
        <w:ind w:left="284" w:firstLine="436"/>
        <w:jc w:val="lowKashida"/>
        <w:rPr>
          <w:rFonts w:asciiTheme="majorBidi" w:hAnsiTheme="majorBidi" w:cstheme="majorBidi"/>
          <w:b/>
          <w:bCs/>
          <w:sz w:val="18"/>
          <w:szCs w:val="18"/>
        </w:rPr>
      </w:pPr>
      <w:r w:rsidRPr="009F6719">
        <w:rPr>
          <w:rFonts w:asciiTheme="majorBidi" w:hAnsiTheme="majorBidi" w:cstheme="majorBidi"/>
          <w:b/>
          <w:bCs/>
          <w:sz w:val="18"/>
          <w:szCs w:val="18"/>
          <w:rtl/>
        </w:rPr>
        <w:t>محمد أحمد علي سحلول،  دار الطباعة المحمدية, 1993م</w:t>
      </w:r>
    </w:p>
    <w:p w:rsidR="009F6719" w:rsidRPr="009F6719" w:rsidRDefault="009F6719" w:rsidP="009F6719">
      <w:pPr>
        <w:numPr>
          <w:ilvl w:val="0"/>
          <w:numId w:val="1"/>
        </w:numPr>
        <w:jc w:val="lowKashida"/>
        <w:rPr>
          <w:rFonts w:asciiTheme="majorBidi" w:hAnsiTheme="majorBidi" w:cstheme="majorBidi"/>
          <w:b/>
          <w:bCs/>
          <w:sz w:val="18"/>
          <w:szCs w:val="18"/>
        </w:rPr>
      </w:pPr>
      <w:r w:rsidRPr="009F6719">
        <w:rPr>
          <w:rFonts w:asciiTheme="majorBidi" w:hAnsiTheme="majorBidi" w:cstheme="majorBidi"/>
          <w:b/>
          <w:bCs/>
          <w:sz w:val="18"/>
          <w:szCs w:val="18"/>
          <w:rtl/>
        </w:rPr>
        <w:t xml:space="preserve">(قراءة أبي السمال العدوي) </w:t>
      </w:r>
    </w:p>
    <w:p w:rsidR="009F6719" w:rsidRPr="009F6719" w:rsidRDefault="009F6719" w:rsidP="009F6719">
      <w:pPr>
        <w:ind w:left="284" w:firstLine="436"/>
        <w:jc w:val="lowKashida"/>
        <w:rPr>
          <w:rFonts w:asciiTheme="majorBidi" w:hAnsiTheme="majorBidi" w:cstheme="majorBidi"/>
          <w:b/>
          <w:bCs/>
          <w:sz w:val="18"/>
          <w:szCs w:val="18"/>
        </w:rPr>
      </w:pPr>
      <w:r w:rsidRPr="009F6719">
        <w:rPr>
          <w:rFonts w:asciiTheme="majorBidi" w:hAnsiTheme="majorBidi" w:cstheme="majorBidi"/>
          <w:b/>
          <w:bCs/>
          <w:sz w:val="18"/>
          <w:szCs w:val="18"/>
          <w:rtl/>
        </w:rPr>
        <w:t>حمدي عبد الفتاح مصطفى خليل، الجريس، القاهرة, 2000م</w:t>
      </w:r>
    </w:p>
    <w:p w:rsidR="009F6719" w:rsidRPr="009F6719" w:rsidRDefault="009F6719" w:rsidP="009F6719">
      <w:pPr>
        <w:numPr>
          <w:ilvl w:val="0"/>
          <w:numId w:val="1"/>
        </w:numPr>
        <w:jc w:val="lowKashida"/>
        <w:rPr>
          <w:rFonts w:asciiTheme="majorBidi" w:hAnsiTheme="majorBidi" w:cstheme="majorBidi"/>
          <w:b/>
          <w:bCs/>
          <w:sz w:val="18"/>
          <w:szCs w:val="18"/>
        </w:rPr>
      </w:pPr>
      <w:r w:rsidRPr="009F6719">
        <w:rPr>
          <w:rFonts w:asciiTheme="majorBidi" w:hAnsiTheme="majorBidi" w:cstheme="majorBidi"/>
          <w:b/>
          <w:bCs/>
          <w:sz w:val="18"/>
          <w:szCs w:val="18"/>
          <w:rtl/>
        </w:rPr>
        <w:t xml:space="preserve">(قراءة عبد الله بن مسعود مكانتها ومصادرها إحصاؤها) </w:t>
      </w:r>
    </w:p>
    <w:p w:rsidR="009F6719" w:rsidRPr="009F6719" w:rsidRDefault="009F6719" w:rsidP="009F6719">
      <w:pPr>
        <w:pStyle w:val="NormalWeb"/>
        <w:bidi/>
        <w:spacing w:before="0" w:beforeAutospacing="0" w:after="0" w:afterAutospacing="0"/>
        <w:ind w:left="284" w:firstLine="436"/>
        <w:jc w:val="both"/>
        <w:rPr>
          <w:rFonts w:asciiTheme="majorBidi" w:hAnsiTheme="majorBidi" w:cstheme="majorBidi"/>
          <w:b/>
          <w:bCs/>
          <w:sz w:val="18"/>
          <w:szCs w:val="18"/>
          <w:rtl/>
          <w:lang w:bidi="ar-EG"/>
        </w:rPr>
      </w:pPr>
      <w:r w:rsidRPr="009F6719">
        <w:rPr>
          <w:rFonts w:asciiTheme="majorBidi" w:hAnsiTheme="majorBidi" w:cstheme="majorBidi"/>
          <w:b/>
          <w:bCs/>
          <w:sz w:val="18"/>
          <w:szCs w:val="18"/>
          <w:rtl/>
          <w:lang w:bidi="ar-EG"/>
        </w:rPr>
        <w:t>محمد أحمد خاطر، دار الاعتصام, 1990م</w:t>
      </w:r>
    </w:p>
    <w:p w:rsidR="009F6719" w:rsidRPr="009F6719" w:rsidRDefault="009F6719" w:rsidP="009F6719">
      <w:pPr>
        <w:rPr>
          <w:rFonts w:hint="cs"/>
          <w:b/>
          <w:bCs/>
          <w:sz w:val="18"/>
          <w:szCs w:val="18"/>
        </w:rPr>
      </w:pPr>
    </w:p>
    <w:p w:rsidR="009F6719" w:rsidRPr="009F6719" w:rsidRDefault="009F6719" w:rsidP="009F6719">
      <w:pPr>
        <w:rPr>
          <w:b/>
          <w:bCs/>
          <w:sz w:val="18"/>
          <w:szCs w:val="18"/>
        </w:rPr>
      </w:pPr>
    </w:p>
    <w:p w:rsidR="009F6719" w:rsidRPr="009F6719" w:rsidRDefault="009F6719" w:rsidP="009F6719">
      <w:pPr>
        <w:jc w:val="lowKashida"/>
        <w:rPr>
          <w:rFonts w:asciiTheme="majorBidi" w:hAnsiTheme="majorBidi" w:cstheme="majorBidi" w:hint="cs"/>
          <w:b/>
          <w:bCs/>
          <w:sz w:val="18"/>
          <w:szCs w:val="18"/>
          <w:rtl/>
        </w:rPr>
      </w:pPr>
    </w:p>
    <w:p w:rsidR="009F6719" w:rsidRPr="009F6719" w:rsidRDefault="009F6719" w:rsidP="009F6719">
      <w:pPr>
        <w:rPr>
          <w:b/>
          <w:bCs/>
          <w:sz w:val="18"/>
          <w:szCs w:val="18"/>
        </w:rPr>
      </w:pPr>
    </w:p>
    <w:p w:rsidR="009F6719" w:rsidRPr="009F6719" w:rsidRDefault="009F6719" w:rsidP="009F6719">
      <w:pPr>
        <w:pStyle w:val="NormalWeb"/>
        <w:bidi/>
        <w:spacing w:before="0" w:beforeAutospacing="0" w:after="120" w:afterAutospacing="0"/>
        <w:jc w:val="center"/>
        <w:rPr>
          <w:rFonts w:cs="AL-Hotham"/>
          <w:b/>
          <w:bCs/>
          <w:sz w:val="18"/>
          <w:szCs w:val="18"/>
        </w:rPr>
        <w:sectPr w:rsidR="009F6719" w:rsidRPr="009F6719" w:rsidSect="009F6719">
          <w:type w:val="continuous"/>
          <w:pgSz w:w="11906" w:h="16838" w:code="9"/>
          <w:pgMar w:top="709" w:right="849" w:bottom="426" w:left="1560" w:header="720" w:footer="720" w:gutter="0"/>
          <w:cols w:num="2" w:space="720"/>
          <w:titlePg/>
          <w:bidi/>
          <w:rtlGutter/>
          <w:docGrid w:linePitch="360"/>
        </w:sectPr>
      </w:pPr>
    </w:p>
    <w:p w:rsidR="004219C3" w:rsidRPr="009F6719" w:rsidRDefault="004219C3" w:rsidP="009F6719">
      <w:pPr>
        <w:rPr>
          <w:b/>
          <w:bCs/>
          <w:sz w:val="18"/>
          <w:szCs w:val="18"/>
        </w:rPr>
      </w:pPr>
    </w:p>
    <w:sectPr w:rsidR="004219C3" w:rsidRPr="009F6719" w:rsidSect="009F6719">
      <w:pgSz w:w="11906" w:h="16838"/>
      <w:pgMar w:top="709" w:right="849" w:bottom="426" w:left="1560" w:header="708" w:footer="708" w:gutter="0"/>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7AA" w:rsidRDefault="000127AA" w:rsidP="009F6719">
      <w:r>
        <w:separator/>
      </w:r>
    </w:p>
  </w:endnote>
  <w:endnote w:type="continuationSeparator" w:id="1">
    <w:p w:rsidR="000127AA" w:rsidRDefault="000127AA" w:rsidP="009F67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Mateen">
    <w:panose1 w:val="00000000000000000000"/>
    <w:charset w:val="B2"/>
    <w:family w:val="auto"/>
    <w:pitch w:val="variable"/>
    <w:sig w:usb0="00002001" w:usb1="00000000" w:usb2="00000000" w:usb3="00000000" w:csb0="00000040" w:csb1="00000000"/>
  </w:font>
  <w:font w:name="AGA Granada Regular">
    <w:panose1 w:val="0000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AL-Hotham">
    <w:panose1 w:val="00000000000000000000"/>
    <w:charset w:val="B2"/>
    <w:family w:val="auto"/>
    <w:pitch w:val="variable"/>
    <w:sig w:usb0="00002001" w:usb1="00000000" w:usb2="00000000" w:usb3="00000000" w:csb0="00000040" w:csb1="00000000"/>
  </w:font>
  <w:font w:name="AGA Furat Regular">
    <w:panose1 w:val="00000000000000000000"/>
    <w:charset w:val="B2"/>
    <w:family w:val="auto"/>
    <w:pitch w:val="variable"/>
    <w:sig w:usb0="00002001" w:usb1="00000000" w:usb2="00000000" w:usb3="00000000" w:csb0="00000040" w:csb1="00000000"/>
  </w:font>
  <w:font w:name="DecoType Thuluth">
    <w:altName w:val="Times New Roman"/>
    <w:charset w:val="B2"/>
    <w:family w:val="auto"/>
    <w:pitch w:val="variable"/>
    <w:sig w:usb0="00002000" w:usb1="80000000" w:usb2="00000008" w:usb3="00000000" w:csb0="00000040" w:csb1="00000000"/>
  </w:font>
  <w:font w:name="QCF_P355">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7AA" w:rsidRDefault="000127AA" w:rsidP="009F6719">
      <w:r>
        <w:separator/>
      </w:r>
    </w:p>
  </w:footnote>
  <w:footnote w:type="continuationSeparator" w:id="1">
    <w:p w:rsidR="000127AA" w:rsidRDefault="000127AA" w:rsidP="009F6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6E9" w:rsidRDefault="000127AA">
    <w:pPr>
      <w:pStyle w:val="Header"/>
    </w:pPr>
    <w:r>
      <w:rPr>
        <w:noProof/>
        <w:lang w:bidi="ar-SA"/>
      </w:rPr>
      <w:pict>
        <v:group id="_x0000_s1032" style="position:absolute;left:0;text-align:left;margin-left:3.5pt;margin-top:75.5pt;width:333.5pt;height:619.25pt;z-index:251661312" coordorigin="2625,2234" coordsize="6670,12385">
          <v:line id="_x0000_s1033" style="position:absolute" from="2648,14404" to="9269,14404" strokecolor="#95b3d7" strokeweight="1pt"/>
          <v:shapetype id="_x0000_t202" coordsize="21600,21600" o:spt="202" path="m,l,21600r21600,l21600,xe">
            <v:stroke joinstyle="miter"/>
            <v:path gradientshapeok="t" o:connecttype="rect"/>
          </v:shapetype>
          <v:shape id="_x0000_s1034" type="#_x0000_t202" style="position:absolute;left:8512;top:14165;width:754;height:454" fillcolor="#4f81bd" stroked="f">
            <v:fill color2="fill darken(118)" rotate="t" angle="-135" method="linear sigma" focus="100%" type="gradient"/>
            <v:shadow on="t" type="perspective" opacity=".5" origin=",.5" offset="0,0" matrix=",56756f,,.5"/>
            <v:textbox style="mso-next-textbox:#_x0000_s1034" inset="0,,0">
              <w:txbxContent>
                <w:p w:rsidR="00C326E9" w:rsidRPr="00907733" w:rsidRDefault="000127AA" w:rsidP="005E730C">
                  <w:pPr>
                    <w:spacing w:line="280" w:lineRule="exact"/>
                    <w:jc w:val="center"/>
                    <w:rPr>
                      <w:rFonts w:cs="AL-Mateen" w:hint="cs"/>
                      <w:color w:val="FFFFFF"/>
                      <w:sz w:val="40"/>
                      <w:szCs w:val="40"/>
                      <w:rtl/>
                    </w:rPr>
                  </w:pPr>
                  <w:r w:rsidRPr="00907733">
                    <w:rPr>
                      <w:rStyle w:val="PageNumber"/>
                      <w:rFonts w:cs="AL-Mateen"/>
                      <w:color w:val="FFFFFF"/>
                      <w:sz w:val="40"/>
                      <w:szCs w:val="40"/>
                    </w:rPr>
                    <w:fldChar w:fldCharType="begin"/>
                  </w:r>
                  <w:r w:rsidRPr="00907733">
                    <w:rPr>
                      <w:rStyle w:val="PageNumber"/>
                      <w:rFonts w:cs="AL-Mateen"/>
                      <w:color w:val="FFFFFF"/>
                      <w:sz w:val="40"/>
                      <w:szCs w:val="40"/>
                    </w:rPr>
                    <w:instrText xml:space="preserve"> PAGE </w:instrText>
                  </w:r>
                  <w:r w:rsidRPr="00907733">
                    <w:rPr>
                      <w:rStyle w:val="PageNumber"/>
                      <w:rFonts w:cs="AL-Mateen"/>
                      <w:color w:val="FFFFFF"/>
                      <w:sz w:val="40"/>
                      <w:szCs w:val="40"/>
                    </w:rPr>
                    <w:fldChar w:fldCharType="separate"/>
                  </w:r>
                  <w:r>
                    <w:rPr>
                      <w:rStyle w:val="PageNumber"/>
                      <w:rFonts w:cs="AL-Mateen"/>
                      <w:noProof/>
                      <w:color w:val="FFFFFF"/>
                      <w:sz w:val="40"/>
                      <w:szCs w:val="40"/>
                      <w:rtl/>
                    </w:rPr>
                    <w:t>174</w:t>
                  </w:r>
                  <w:r w:rsidRPr="00907733">
                    <w:rPr>
                      <w:rStyle w:val="PageNumber"/>
                      <w:rFonts w:cs="AL-Mateen"/>
                      <w:color w:val="FFFFFF"/>
                      <w:sz w:val="40"/>
                      <w:szCs w:val="40"/>
                    </w:rPr>
                    <w:fldChar w:fldCharType="end"/>
                  </w:r>
                </w:p>
              </w:txbxContent>
            </v:textbox>
          </v:shape>
          <v:shapetype id="_x0000_t32" coordsize="21600,21600" o:spt="32" o:oned="t" path="m,l21600,21600e" filled="f">
            <v:path arrowok="t" fillok="f" o:connecttype="none"/>
            <o:lock v:ext="edit" shapetype="t"/>
          </v:shapetype>
          <v:shape id="_x0000_s1035" type="#_x0000_t32" style="position:absolute;left:5305;top:2501;width:3969;height:0;flip:x" o:connectortype="straight" strokecolor="#95b3d7" strokeweight="1pt">
            <v:shadow type="perspective" color="#243f60" opacity=".5" offset="1pt" offset2="-3p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left:2625;top:2282;width:2551;height:397" fillcolor="#369" stroked="f">
            <v:shadow on="t" color="#b2b2b2" opacity="52429f" offset="1pt,0" offset2="-4pt,-4pt"/>
            <v:textpath style="font-family:&quot;Al-Mothnna&quot;;v-text-kern:t" trim="t" fitpath="t" string="القراءات الشاذة"/>
          </v:shape>
          <v:rect id="_x0000_s1037" style="position:absolute;left:7594;top:2234;width:1701;height:509" fillcolor="#4f81bd" strokecolor="#f2f2f2" strokeweight="1pt">
            <v:fill color2="#243f60" angle="-135" focusposition="1" focussize="" focus="100%" type="gradient"/>
            <v:shadow on="t" type="perspective" color="#b8cce4" opacity=".5" origin=",.5" offset="0,0" matrix=",56756f,,.5"/>
            <v:textbox style="mso-next-textbox:#_x0000_s1037">
              <w:txbxContent>
                <w:p w:rsidR="00C326E9" w:rsidRPr="00E31343" w:rsidRDefault="000127AA" w:rsidP="005E730C">
                  <w:pPr>
                    <w:ind w:left="428"/>
                    <w:rPr>
                      <w:rFonts w:cs="AGA Granada Regular"/>
                      <w:color w:val="FFFFFF"/>
                      <w:sz w:val="36"/>
                      <w:szCs w:val="36"/>
                      <w:rtl/>
                    </w:rPr>
                  </w:pPr>
                </w:p>
              </w:txbxContent>
            </v:textbox>
          </v:rect>
          <v:shape id="_x0000_s1038" type="#_x0000_t136" style="position:absolute;left:7736;top:2330;width:1417;height:317" stroked="f">
            <v:shadow on="t" color="black" opacity="52429f" offset="1pt,0" offset2="-4pt,-4pt"/>
            <v:textpath style="font-family:&quot;AGA Granada Regular&quot;;v-text-kern:t" trim="t" fitpath="t" string="الدرس العاشر"/>
          </v:shape>
          <w10:wrap anchorx="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abstractNum w:abstractNumId="2">
    <w:nsid w:val="54AF07C7"/>
    <w:multiLevelType w:val="hybridMultilevel"/>
    <w:tmpl w:val="3DB6F57A"/>
    <w:lvl w:ilvl="0" w:tplc="ED521654">
      <w:start w:val="1"/>
      <w:numFmt w:val="decimal"/>
      <w:lvlText w:val="%1."/>
      <w:lvlJc w:val="left"/>
      <w:pPr>
        <w:tabs>
          <w:tab w:val="num" w:pos="463"/>
        </w:tabs>
        <w:ind w:left="463"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3074"/>
    <o:shapelayout v:ext="edit">
      <o:idmap v:ext="edit" data="1"/>
      <o:rules v:ext="edit">
        <o:r id="V:Rule2" type="connector" idref="#_x0000_s1035"/>
      </o:rules>
    </o:shapelayout>
  </w:hdrShapeDefaults>
  <w:footnotePr>
    <w:footnote w:id="0"/>
    <w:footnote w:id="1"/>
  </w:footnotePr>
  <w:endnotePr>
    <w:endnote w:id="0"/>
    <w:endnote w:id="1"/>
  </w:endnotePr>
  <w:compat/>
  <w:rsids>
    <w:rsidRoot w:val="009F6719"/>
    <w:rsid w:val="000127AA"/>
    <w:rsid w:val="001A2769"/>
    <w:rsid w:val="004168A0"/>
    <w:rsid w:val="004219C3"/>
    <w:rsid w:val="004A286F"/>
    <w:rsid w:val="009F67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719"/>
    <w:pPr>
      <w:bidi/>
      <w:spacing w:after="0" w:line="240" w:lineRule="auto"/>
    </w:pPr>
    <w:rPr>
      <w:rFonts w:ascii="Times New Roman" w:eastAsia="Times New Roman" w:hAnsi="Times New Roman" w:cs="Times New Roman"/>
      <w:sz w:val="24"/>
      <w:szCs w:val="24"/>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F671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F6719"/>
    <w:pPr>
      <w:bidi w:val="0"/>
      <w:spacing w:before="100" w:beforeAutospacing="1" w:after="100" w:afterAutospacing="1"/>
    </w:pPr>
    <w:rPr>
      <w:lang w:bidi="ar-SA"/>
    </w:rPr>
  </w:style>
  <w:style w:type="paragraph" w:styleId="Header">
    <w:name w:val="header"/>
    <w:basedOn w:val="Normal"/>
    <w:link w:val="HeaderChar"/>
    <w:rsid w:val="009F6719"/>
    <w:pPr>
      <w:tabs>
        <w:tab w:val="center" w:pos="4153"/>
        <w:tab w:val="right" w:pos="8306"/>
      </w:tabs>
    </w:pPr>
  </w:style>
  <w:style w:type="character" w:customStyle="1" w:styleId="HeaderChar">
    <w:name w:val="Header Char"/>
    <w:basedOn w:val="DefaultParagraphFont"/>
    <w:link w:val="Header"/>
    <w:rsid w:val="009F6719"/>
    <w:rPr>
      <w:rFonts w:ascii="Times New Roman" w:eastAsia="Times New Roman" w:hAnsi="Times New Roman" w:cs="Times New Roman"/>
      <w:sz w:val="24"/>
      <w:szCs w:val="24"/>
      <w:lang w:bidi="ar-EG"/>
    </w:rPr>
  </w:style>
  <w:style w:type="character" w:styleId="PageNumber">
    <w:name w:val="page number"/>
    <w:basedOn w:val="DefaultParagraphFont"/>
    <w:rsid w:val="009F6719"/>
  </w:style>
  <w:style w:type="paragraph" w:styleId="Footer">
    <w:name w:val="footer"/>
    <w:basedOn w:val="Normal"/>
    <w:link w:val="FooterChar"/>
    <w:uiPriority w:val="99"/>
    <w:semiHidden/>
    <w:unhideWhenUsed/>
    <w:rsid w:val="009F6719"/>
    <w:pPr>
      <w:tabs>
        <w:tab w:val="center" w:pos="4153"/>
        <w:tab w:val="right" w:pos="8306"/>
      </w:tabs>
    </w:pPr>
  </w:style>
  <w:style w:type="character" w:customStyle="1" w:styleId="FooterChar">
    <w:name w:val="Footer Char"/>
    <w:basedOn w:val="DefaultParagraphFont"/>
    <w:link w:val="Footer"/>
    <w:uiPriority w:val="99"/>
    <w:semiHidden/>
    <w:rsid w:val="009F6719"/>
    <w:rPr>
      <w:rFonts w:ascii="Times New Roman" w:eastAsia="Times New Roman" w:hAnsi="Times New Roman" w:cs="Times New Roman"/>
      <w:sz w:val="24"/>
      <w:szCs w:val="24"/>
      <w:lang w:bidi="ar-EG"/>
    </w:rPr>
  </w:style>
  <w:style w:type="character" w:styleId="Hyperlink">
    <w:name w:val="Hyperlink"/>
    <w:basedOn w:val="DefaultParagraphFont"/>
    <w:uiPriority w:val="99"/>
    <w:unhideWhenUsed/>
    <w:rsid w:val="009F671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hmedmsamir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4184</Characters>
  <Application>Microsoft Office Word</Application>
  <DocSecurity>0</DocSecurity>
  <Lines>34</Lines>
  <Paragraphs>9</Paragraphs>
  <ScaleCrop>false</ScaleCrop>
  <Company>Fannan</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Fannan NewLook V5</cp:lastModifiedBy>
  <cp:revision>1</cp:revision>
  <dcterms:created xsi:type="dcterms:W3CDTF">2013-06-16T14:54:00Z</dcterms:created>
  <dcterms:modified xsi:type="dcterms:W3CDTF">2013-06-16T14:57:00Z</dcterms:modified>
</cp:coreProperties>
</file>