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9B" w:rsidRDefault="007D3C9B" w:rsidP="007D3C9B">
      <w:pPr>
        <w:spacing w:before="60"/>
        <w:jc w:val="center"/>
        <w:rPr>
          <w:rFonts w:asciiTheme="majorBidi" w:eastAsia="Calibri" w:hAnsiTheme="majorBidi" w:cstheme="majorBidi" w:hint="cs"/>
          <w:b/>
          <w:bCs/>
          <w:sz w:val="48"/>
          <w:szCs w:val="48"/>
          <w:rtl/>
        </w:rPr>
      </w:pPr>
      <w:r w:rsidRPr="007D3C9B">
        <w:rPr>
          <w:rFonts w:asciiTheme="majorBidi" w:eastAsia="Calibri" w:hAnsiTheme="majorBidi" w:cstheme="majorBidi" w:hint="cs"/>
          <w:b/>
          <w:bCs/>
          <w:sz w:val="48"/>
          <w:szCs w:val="48"/>
          <w:rtl/>
        </w:rPr>
        <w:t>موقف قطرب محمد بن المستنير</w:t>
      </w:r>
    </w:p>
    <w:p w:rsidR="007D3C9B" w:rsidRDefault="007D3C9B" w:rsidP="007D3C9B">
      <w:pPr>
        <w:jc w:val="lowKashida"/>
        <w:rPr>
          <w:rFonts w:asciiTheme="majorBidi" w:hAnsiTheme="majorBidi" w:cstheme="majorBidi" w:hint="cs"/>
          <w:b/>
          <w:bCs/>
          <w:sz w:val="18"/>
          <w:szCs w:val="18"/>
          <w:rtl/>
        </w:rPr>
      </w:pPr>
    </w:p>
    <w:p w:rsidR="007D3C9B" w:rsidRPr="00F7753E" w:rsidRDefault="007D3C9B" w:rsidP="007D3C9B">
      <w:pPr>
        <w:jc w:val="lowKashida"/>
        <w:rPr>
          <w:rFonts w:asciiTheme="majorBidi" w:hAnsiTheme="majorBidi" w:cstheme="majorBidi" w:hint="cs"/>
          <w:b/>
          <w:bCs/>
          <w:sz w:val="18"/>
          <w:szCs w:val="18"/>
          <w:rtl/>
        </w:rPr>
      </w:pPr>
    </w:p>
    <w:p w:rsidR="007D3C9B" w:rsidRPr="00F7753E" w:rsidRDefault="007D3C9B" w:rsidP="007D3C9B">
      <w:pPr>
        <w:jc w:val="lowKashida"/>
        <w:rPr>
          <w:rFonts w:asciiTheme="majorBidi" w:hAnsiTheme="majorBidi" w:cstheme="majorBidi" w:hint="cs"/>
          <w:b/>
          <w:bCs/>
          <w:sz w:val="18"/>
          <w:szCs w:val="18"/>
          <w:rtl/>
        </w:rPr>
      </w:pPr>
    </w:p>
    <w:p w:rsidR="007D3C9B" w:rsidRPr="00F7753E" w:rsidRDefault="007D3C9B" w:rsidP="007D3C9B">
      <w:pPr>
        <w:jc w:val="center"/>
        <w:rPr>
          <w:rFonts w:asciiTheme="majorBidi" w:eastAsia="Calibri" w:hAnsiTheme="majorBidi" w:cstheme="majorBidi"/>
          <w:sz w:val="18"/>
          <w:szCs w:val="18"/>
          <w:rtl/>
        </w:rPr>
      </w:pPr>
      <w:r w:rsidRPr="00F7753E">
        <w:rPr>
          <w:rFonts w:asciiTheme="majorBidi" w:hAnsiTheme="majorBidi" w:cstheme="majorBidi"/>
          <w:sz w:val="18"/>
          <w:szCs w:val="18"/>
          <w:rtl/>
        </w:rPr>
        <w:t xml:space="preserve">مبحث فى </w:t>
      </w:r>
      <w:r w:rsidRPr="00F7753E">
        <w:rPr>
          <w:rFonts w:asciiTheme="majorBidi" w:hAnsiTheme="majorBidi" w:cstheme="majorBidi" w:hint="cs"/>
          <w:sz w:val="18"/>
          <w:szCs w:val="18"/>
          <w:rtl/>
        </w:rPr>
        <w:t xml:space="preserve">علم </w:t>
      </w:r>
      <w:r w:rsidRPr="00F7753E">
        <w:rPr>
          <w:rFonts w:asciiTheme="majorBidi" w:eastAsia="Calibri" w:hAnsiTheme="majorBidi" w:cstheme="majorBidi" w:hint="cs"/>
          <w:sz w:val="18"/>
          <w:szCs w:val="18"/>
          <w:rtl/>
        </w:rPr>
        <w:t>القراءات الشاذه</w:t>
      </w:r>
    </w:p>
    <w:p w:rsidR="007D3C9B" w:rsidRPr="00426F7E" w:rsidRDefault="007D3C9B" w:rsidP="007D3C9B">
      <w:pPr>
        <w:jc w:val="center"/>
        <w:rPr>
          <w:rFonts w:asciiTheme="majorBidi" w:hAnsiTheme="majorBidi" w:cstheme="majorBidi"/>
          <w:sz w:val="18"/>
          <w:szCs w:val="18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إعداد / أحمد محمد سمير</w:t>
      </w:r>
    </w:p>
    <w:p w:rsidR="007D3C9B" w:rsidRPr="00426F7E" w:rsidRDefault="007D3C9B" w:rsidP="007D3C9B">
      <w:pPr>
        <w:jc w:val="center"/>
        <w:rPr>
          <w:rFonts w:asciiTheme="majorBidi" w:hAnsiTheme="majorBidi" w:cstheme="majorBidi"/>
          <w:sz w:val="18"/>
          <w:szCs w:val="18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قسم الدعوة وأصول الدين</w:t>
      </w:r>
    </w:p>
    <w:p w:rsidR="007D3C9B" w:rsidRPr="00426F7E" w:rsidRDefault="007D3C9B" w:rsidP="007D3C9B">
      <w:pPr>
        <w:jc w:val="center"/>
        <w:rPr>
          <w:rFonts w:asciiTheme="majorBidi" w:hAnsiTheme="majorBidi" w:cstheme="majorBidi"/>
          <w:sz w:val="18"/>
          <w:szCs w:val="18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كلية العلوم الإسلامية – جامعة المدينة العالمية</w:t>
      </w:r>
    </w:p>
    <w:p w:rsidR="007D3C9B" w:rsidRPr="00426F7E" w:rsidRDefault="007D3C9B" w:rsidP="007D3C9B">
      <w:pPr>
        <w:jc w:val="center"/>
        <w:rPr>
          <w:rFonts w:asciiTheme="majorBidi" w:hAnsiTheme="majorBidi" w:cstheme="majorBidi"/>
          <w:sz w:val="18"/>
          <w:szCs w:val="18"/>
          <w:rtl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شاه علم - ماليزيا</w:t>
      </w:r>
    </w:p>
    <w:p w:rsidR="007D3C9B" w:rsidRDefault="007D3C9B" w:rsidP="007D3C9B">
      <w:pPr>
        <w:tabs>
          <w:tab w:val="left" w:pos="4050"/>
        </w:tabs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hyperlink r:id="rId5" w:history="1">
        <w:r w:rsidRPr="00DE0243">
          <w:rPr>
            <w:rStyle w:val="Hyperlink"/>
            <w:rFonts w:asciiTheme="majorBidi" w:hAnsiTheme="majorBidi" w:cstheme="majorBidi"/>
            <w:b/>
            <w:bCs/>
            <w:sz w:val="18"/>
            <w:szCs w:val="18"/>
          </w:rPr>
          <w:t>Ahmedmsamir54@gmail.com</w:t>
        </w:r>
      </w:hyperlink>
    </w:p>
    <w:p w:rsidR="007D3C9B" w:rsidRPr="00426F7E" w:rsidRDefault="007D3C9B" w:rsidP="007D3C9B">
      <w:pPr>
        <w:tabs>
          <w:tab w:val="left" w:pos="4050"/>
        </w:tabs>
        <w:jc w:val="center"/>
        <w:rPr>
          <w:rFonts w:asciiTheme="majorBidi" w:hAnsiTheme="majorBidi" w:cstheme="majorBidi"/>
          <w:b/>
          <w:bCs/>
          <w:sz w:val="18"/>
          <w:szCs w:val="18"/>
        </w:rPr>
      </w:pPr>
    </w:p>
    <w:p w:rsidR="007D3C9B" w:rsidRDefault="007D3C9B" w:rsidP="007D3C9B">
      <w:pPr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  <w:sectPr w:rsidR="007D3C9B" w:rsidSect="004168A0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7D3C9B" w:rsidRPr="007D3C9B" w:rsidRDefault="007D3C9B" w:rsidP="007D3C9B">
      <w:pPr>
        <w:jc w:val="center"/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</w:pPr>
      <w:r w:rsidRPr="007D3C9B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 xml:space="preserve">الخلاصة – هذا البحث يبحث فى </w:t>
      </w:r>
      <w:r w:rsidRPr="007D3C9B"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موقف قطرب محمد بن المستنير</w:t>
      </w:r>
    </w:p>
    <w:p w:rsidR="007D3C9B" w:rsidRPr="007D3C9B" w:rsidRDefault="007D3C9B" w:rsidP="007D3C9B">
      <w:pPr>
        <w:rPr>
          <w:rFonts w:asciiTheme="majorBidi" w:eastAsia="Calibri" w:hAnsiTheme="majorBidi" w:cstheme="majorBidi"/>
          <w:b/>
          <w:bCs/>
          <w:sz w:val="18"/>
          <w:szCs w:val="18"/>
          <w:rtl/>
        </w:rPr>
      </w:pPr>
    </w:p>
    <w:p w:rsidR="007D3C9B" w:rsidRPr="007D3C9B" w:rsidRDefault="007D3C9B" w:rsidP="007D3C9B">
      <w:pPr>
        <w:rPr>
          <w:rFonts w:asciiTheme="majorBidi" w:eastAsia="Calibri" w:hAnsiTheme="majorBidi" w:cstheme="majorBidi"/>
          <w:b/>
          <w:bCs/>
          <w:sz w:val="18"/>
          <w:szCs w:val="18"/>
          <w:rtl/>
        </w:rPr>
      </w:pPr>
      <w:r w:rsidRPr="007D3C9B">
        <w:rPr>
          <w:rFonts w:asciiTheme="majorBidi" w:eastAsia="Calibri" w:hAnsiTheme="majorBidi" w:cstheme="majorBidi"/>
          <w:b/>
          <w:bCs/>
          <w:sz w:val="18"/>
          <w:szCs w:val="18"/>
          <w:rtl/>
        </w:rPr>
        <w:t xml:space="preserve">الكلمات المفتاحية – </w:t>
      </w:r>
      <w:r w:rsidRPr="007D3C9B"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موقف، قطرب، المستنير</w:t>
      </w:r>
    </w:p>
    <w:p w:rsidR="007D3C9B" w:rsidRPr="007D3C9B" w:rsidRDefault="007D3C9B" w:rsidP="007D3C9B">
      <w:pPr>
        <w:numPr>
          <w:ilvl w:val="0"/>
          <w:numId w:val="2"/>
        </w:numPr>
        <w:spacing w:after="200"/>
        <w:ind w:left="643" w:hanging="90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7D3C9B">
        <w:rPr>
          <w:rFonts w:asciiTheme="majorBidi" w:hAnsiTheme="majorBidi" w:cstheme="majorBidi"/>
          <w:b/>
          <w:bCs/>
          <w:sz w:val="18"/>
          <w:szCs w:val="18"/>
          <w:rtl/>
        </w:rPr>
        <w:t>.المقدمة</w:t>
      </w:r>
    </w:p>
    <w:p w:rsidR="007D3C9B" w:rsidRPr="007D3C9B" w:rsidRDefault="007D3C9B" w:rsidP="007D3C9B">
      <w:pPr>
        <w:jc w:val="center"/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</w:pPr>
      <w:r w:rsidRPr="007D3C9B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</w:t>
      </w:r>
      <w:r w:rsidRPr="007D3C9B"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موقف قطرب محمد بن المستنير</w:t>
      </w:r>
    </w:p>
    <w:p w:rsidR="007D3C9B" w:rsidRPr="007D3C9B" w:rsidRDefault="007D3C9B" w:rsidP="007D3C9B">
      <w:pPr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7D3C9B" w:rsidRPr="007D3C9B" w:rsidRDefault="007D3C9B" w:rsidP="007D3C9B">
      <w:pPr>
        <w:numPr>
          <w:ilvl w:val="0"/>
          <w:numId w:val="3"/>
        </w:numPr>
        <w:spacing w:after="200"/>
        <w:ind w:left="733" w:hanging="90"/>
        <w:jc w:val="center"/>
        <w:rPr>
          <w:rFonts w:asciiTheme="majorBidi" w:hAnsiTheme="majorBidi" w:cstheme="majorBidi" w:hint="cs"/>
          <w:b/>
          <w:bCs/>
          <w:sz w:val="18"/>
          <w:szCs w:val="18"/>
          <w:rtl/>
        </w:rPr>
      </w:pPr>
      <w:r w:rsidRPr="007D3C9B">
        <w:rPr>
          <w:rFonts w:asciiTheme="majorBidi" w:hAnsiTheme="majorBidi" w:cstheme="majorBidi"/>
          <w:b/>
          <w:bCs/>
          <w:sz w:val="18"/>
          <w:szCs w:val="18"/>
          <w:rtl/>
        </w:rPr>
        <w:t>.عنوان المقال</w:t>
      </w:r>
    </w:p>
    <w:p w:rsidR="007D3C9B" w:rsidRPr="007D3C9B" w:rsidRDefault="007D3C9B" w:rsidP="007D3C9B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نبين موقف قطرب محمد بن المستنير المتوفى سنة ست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بعد المائتين، أخذ قطرب عن سيبويه، وجماعة من العلماء، كما أخذ عن يونس بن حبيب، ووضع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مصنفات كثيرة في علوم القرآن، والعربية، منها: (العلل في النحو ومعاني القرآن)، فكان لذلك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أثره في إيمانه العميق بالتراث عمومًا، وبلغة القرآن والقراءات خصوصًا. ومن مصنفاته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الكثيرة هذه لم يصل إلينا شيء، ولكن النصوص المتفرقة هي التي دللت على مذهبه، فقد كان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ينتصر لقراءة حمزة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وما أنتم بمصرخي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التي رفضها الفراء، والأخفش قبله، ويحملها على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قول أحدهم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763"/>
        <w:gridCol w:w="519"/>
        <w:gridCol w:w="1733"/>
      </w:tblGrid>
      <w:tr w:rsidR="007D3C9B" w:rsidRPr="007D3C9B" w:rsidTr="00064B76">
        <w:trPr>
          <w:trHeight w:hRule="exact" w:val="51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7D3C9B" w:rsidRPr="007D3C9B" w:rsidRDefault="007D3C9B" w:rsidP="007D3C9B">
            <w:pPr>
              <w:spacing w:after="120"/>
              <w:jc w:val="both"/>
              <w:rPr>
                <w:rFonts w:cs="AGA Furat Regular"/>
                <w:b/>
                <w:bCs/>
                <w:sz w:val="18"/>
                <w:szCs w:val="18"/>
                <w:rtl/>
              </w:rPr>
            </w:pPr>
            <w:r w:rsidRPr="007D3C9B">
              <w:rPr>
                <w:rFonts w:cs="AGA Furat Regular"/>
                <w:b/>
                <w:bCs/>
                <w:sz w:val="18"/>
                <w:szCs w:val="18"/>
                <w:rtl/>
              </w:rPr>
              <w:t>ماض إذا همّ بالمضي قال</w:t>
            </w:r>
            <w:r w:rsidRPr="007D3C9B">
              <w:rPr>
                <w:rFonts w:cs="AGA Furat Regular"/>
                <w:b/>
                <w:bCs/>
                <w:sz w:val="18"/>
                <w:szCs w:val="18"/>
                <w:rtl/>
              </w:rPr>
              <w:br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D3C9B" w:rsidRPr="007D3C9B" w:rsidRDefault="007D3C9B" w:rsidP="007D3C9B">
            <w:pPr>
              <w:spacing w:after="120"/>
              <w:jc w:val="center"/>
              <w:rPr>
                <w:rFonts w:cs="AL-Hotham" w:hint="cs"/>
                <w:b/>
                <w:bCs/>
                <w:sz w:val="18"/>
                <w:szCs w:val="18"/>
                <w:rtl/>
              </w:rPr>
            </w:pPr>
            <w:r w:rsidRPr="007D3C9B">
              <w:rPr>
                <w:rFonts w:cs="AL-Hotham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7D3C9B" w:rsidRPr="007D3C9B" w:rsidRDefault="007D3C9B" w:rsidP="007D3C9B">
            <w:pPr>
              <w:spacing w:after="120"/>
              <w:jc w:val="both"/>
              <w:rPr>
                <w:rFonts w:cs="AGA Furat Regular" w:hint="cs"/>
                <w:b/>
                <w:bCs/>
                <w:sz w:val="18"/>
                <w:szCs w:val="18"/>
                <w:rtl/>
              </w:rPr>
            </w:pPr>
            <w:r w:rsidRPr="007D3C9B">
              <w:rPr>
                <w:rFonts w:cs="AGA Furat Regular"/>
                <w:b/>
                <w:bCs/>
                <w:sz w:val="18"/>
                <w:szCs w:val="18"/>
                <w:rtl/>
              </w:rPr>
              <w:t>لها هل لك يا تافهي</w:t>
            </w:r>
            <w:r w:rsidRPr="007D3C9B">
              <w:rPr>
                <w:rFonts w:cs="AGA Furat Regular"/>
                <w:b/>
                <w:bCs/>
                <w:sz w:val="18"/>
                <w:szCs w:val="18"/>
                <w:rtl/>
              </w:rPr>
              <w:br/>
            </w:r>
          </w:p>
        </w:tc>
      </w:tr>
    </w:tbl>
    <w:p w:rsidR="007D3C9B" w:rsidRPr="007D3C9B" w:rsidRDefault="007D3C9B" w:rsidP="007D3C9B">
      <w:pPr>
        <w:pStyle w:val="NormalWeb"/>
        <w:bidi/>
        <w:spacing w:before="0" w:beforeAutospacing="0" w:after="120" w:afterAutospacing="0"/>
        <w:jc w:val="both"/>
        <w:rPr>
          <w:rFonts w:ascii="Simplified Arabic" w:hAnsi="Simplified Arabic" w:cs="AL-Hotham" w:hint="cs"/>
          <w:b/>
          <w:bCs/>
          <w:sz w:val="18"/>
          <w:szCs w:val="18"/>
          <w:rtl/>
          <w:lang w:bidi="ar-EG"/>
        </w:rPr>
      </w:pP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ولا يخرج قطرب على هذا المنهج في النظر إلى القراءات النوادر،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متابعًا في ذلك سيبويه، ويونس، وهو يوجه قراءة السلمي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زين لكثير من المشركين قتل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أولادهم شركاؤهم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على أن الشركاء فاعل من مصدر القتل؛ لأنه قال: زين لكثير من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المشركين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أن قتل شركاؤهم أولادهم، وشبهه بقولهم: حبب إلي ركوب الفرس زيد،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أي: أن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ركب الفرس زيد،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وقد ضعف ابن جني هذه المشابهة، كما خرج قطرب قراءة الحسن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ما أنتم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عليه بفاتنين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إلا من هو صالُ الجحيم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بضم اللام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على أنه أراد جمع صال أي: صالون،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فحذف النون للإضافة، واحتفظ بالواو، ثم حذفها؛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لالتقاء الساكنين، وحمل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من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معنى الجمع، واستشهد لهذا بقوله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: </w:t>
      </w:r>
      <w:r w:rsidRPr="007D3C9B">
        <w:rPr>
          <w:rFonts w:ascii="Simplified Arabic" w:hAnsi="Simplified Arabic" w:cs="DecoType Thuluth"/>
          <w:b/>
          <w:bCs/>
          <w:sz w:val="18"/>
          <w:szCs w:val="18"/>
          <w:rtl/>
          <w:lang w:bidi="ar-EG"/>
        </w:rPr>
        <w:t>{</w:t>
      </w:r>
      <w:r w:rsidRPr="007D3C9B">
        <w:rPr>
          <w:rFonts w:ascii="QCF_P213" w:hAnsi="QCF_P213" w:cs="QCF_P213"/>
          <w:b/>
          <w:bCs/>
          <w:sz w:val="18"/>
          <w:szCs w:val="18"/>
          <w:rtl/>
        </w:rPr>
        <w:t>ﰙ ﰚ ﰛ ﰜ</w:t>
      </w:r>
      <w:r w:rsidRPr="007D3C9B">
        <w:rPr>
          <w:rFonts w:ascii="QCF_P213" w:hAnsi="QCF_P213" w:cs="DecoType Thuluth"/>
          <w:b/>
          <w:bCs/>
          <w:sz w:val="18"/>
          <w:szCs w:val="18"/>
          <w:rtl/>
        </w:rPr>
        <w:t>}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[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يونس: 42]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7D3C9B" w:rsidRPr="007D3C9B" w:rsidRDefault="007D3C9B" w:rsidP="007D3C9B">
      <w:pPr>
        <w:pStyle w:val="NormalWeb"/>
        <w:bidi/>
        <w:spacing w:before="0" w:beforeAutospacing="0"/>
        <w:jc w:val="lowKashida"/>
        <w:rPr>
          <w:rFonts w:ascii="Simplified Arabic" w:hAnsi="Simplified Arabic" w:cs="AL-Hotham" w:hint="cs"/>
          <w:b/>
          <w:bCs/>
          <w:sz w:val="18"/>
          <w:szCs w:val="18"/>
          <w:rtl/>
        </w:rPr>
      </w:pP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أب</w:t>
      </w:r>
      <w:r w:rsidRPr="007D3C9B">
        <w:rPr>
          <w:rFonts w:ascii="Simplified Arabic" w:hAnsi="Simplified Arabic" w:cs="AL-Hotham" w:hint="cs"/>
          <w:b/>
          <w:bCs/>
          <w:sz w:val="18"/>
          <w:szCs w:val="18"/>
          <w:rtl/>
        </w:rPr>
        <w:t>و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عبيدة معمر بن المثنى</w:t>
      </w:r>
      <w:r w:rsidRPr="007D3C9B">
        <w:rPr>
          <w:rFonts w:ascii="Simplified Arabic" w:hAnsi="Simplified Arabic" w:cs="AL-Hotham" w:hint="cs"/>
          <w:b/>
          <w:bCs/>
          <w:sz w:val="18"/>
          <w:szCs w:val="18"/>
          <w:rtl/>
        </w:rPr>
        <w:t>:</w:t>
      </w:r>
    </w:p>
    <w:p w:rsidR="007D3C9B" w:rsidRPr="007D3C9B" w:rsidRDefault="007D3C9B" w:rsidP="007D3C9B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بعد ذلك ننتقل إلى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أبي عبيدة معمر بن المثنى المتوفى سنة عشر بعد المائتين، وهو أحد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تلاميذ أبي عمرو، ويونس، إلا أنه كان ضعيفًا في النحو كما يقول الفراء، والسير</w:t>
      </w:r>
      <w:r w:rsidRPr="007D3C9B">
        <w:rPr>
          <w:rFonts w:ascii="Simplified Arabic" w:hAnsi="Simplified Arabic" w:cs="AL-Hotham" w:hint="cs"/>
          <w:b/>
          <w:bCs/>
          <w:sz w:val="18"/>
          <w:szCs w:val="18"/>
          <w:rtl/>
        </w:rPr>
        <w:t>ا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في،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والأزهري، ولعل ذلك يعود إلى انصرافه إلى اللغات، وأيام العرب. كان لأبي عبيدة مشاركة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في النحو، واشتغال بالقرآن أيضًا، فقد وضع كتابًا في معاني القرآن، وآخر في مجاز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القرآن، وفي هذا الأخير أفصح عن وفاء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للغة القراءات، واحترام شديد للرسم،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واندفاع في الزود عن مصحف عثمان الذي اتهم بوقوع اللحن فيه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7D3C9B" w:rsidRPr="007D3C9B" w:rsidRDefault="007D3C9B" w:rsidP="007D3C9B">
      <w:pPr>
        <w:pStyle w:val="NormalWeb"/>
        <w:bidi/>
        <w:spacing w:before="0" w:beforeAutospacing="0" w:after="120" w:afterAutospacing="0"/>
        <w:jc w:val="both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وعلى هذا المنهج السليم صار أبو عبيدة في استقباله للقراءات النادرة، فقد استحب وجه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قراءة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لا تقولوا راعنًا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، وجعلها كلمة واحدة منهيًا عنها، 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lastRenderedPageBreak/>
        <w:t>وخرج قراءة بعضهم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فلا يسرفُ في القتل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على مجاز الخبر، وشرحها بقوله: إنه ليس في قتل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ولي المقتول الذي قتل، ثم قُتل هو به سرف، وتابع سيبويه في تخريج قراءة عيسى بن عمر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والسارق والسارقةَ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بالنصب على الاشتغال، مع أن هواه في الرفع،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ونقل عنه جواز جر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فئة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من قوله تعالى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: </w:t>
      </w:r>
      <w:r w:rsidRPr="007D3C9B">
        <w:rPr>
          <w:rFonts w:ascii="Simplified Arabic" w:hAnsi="Simplified Arabic" w:cs="DecoType Thuluth"/>
          <w:b/>
          <w:bCs/>
          <w:sz w:val="18"/>
          <w:szCs w:val="18"/>
          <w:rtl/>
          <w:lang w:bidi="ar-EG"/>
        </w:rPr>
        <w:t>{</w:t>
      </w:r>
      <w:r w:rsidRPr="007D3C9B">
        <w:rPr>
          <w:rFonts w:ascii="QCF_P051" w:hAnsi="QCF_P051" w:cs="QCF_P051"/>
          <w:b/>
          <w:bCs/>
          <w:sz w:val="18"/>
          <w:szCs w:val="18"/>
          <w:rtl/>
        </w:rPr>
        <w:t>ﭿ ﮀ ﮁ ﮂ ﮃ ﮄ ﮅ ﮆ ﮇ ﮈ ﮉ ﮊ ﮋ ﮌ ﮍ</w:t>
      </w:r>
      <w:r w:rsidRPr="007D3C9B">
        <w:rPr>
          <w:rFonts w:ascii="QCF_P051" w:hAnsi="QCF_P051" w:cs="DecoType Thuluth"/>
          <w:b/>
          <w:bCs/>
          <w:sz w:val="18"/>
          <w:szCs w:val="18"/>
          <w:rtl/>
        </w:rPr>
        <w:t>}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[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آل عمران: 13]،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وتأييدها بقول كثير عزة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: 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764"/>
        <w:gridCol w:w="514"/>
        <w:gridCol w:w="1737"/>
      </w:tblGrid>
      <w:tr w:rsidR="007D3C9B" w:rsidRPr="007D3C9B" w:rsidTr="00064B76">
        <w:trPr>
          <w:trHeight w:hRule="exact" w:val="51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7D3C9B" w:rsidRPr="007D3C9B" w:rsidRDefault="007D3C9B" w:rsidP="007D3C9B">
            <w:pPr>
              <w:spacing w:after="120"/>
              <w:jc w:val="both"/>
              <w:rPr>
                <w:rFonts w:cs="AGA Furat Regular"/>
                <w:b/>
                <w:bCs/>
                <w:sz w:val="18"/>
                <w:szCs w:val="18"/>
                <w:rtl/>
              </w:rPr>
            </w:pPr>
            <w:r w:rsidRPr="007D3C9B">
              <w:rPr>
                <w:rFonts w:cs="AGA Furat Regular"/>
                <w:b/>
                <w:bCs/>
                <w:sz w:val="18"/>
                <w:szCs w:val="18"/>
                <w:rtl/>
              </w:rPr>
              <w:t>فكنت كذي رجلين رجل صحيحة</w:t>
            </w:r>
            <w:r w:rsidRPr="007D3C9B">
              <w:rPr>
                <w:rFonts w:cs="AGA Furat Regular"/>
                <w:b/>
                <w:bCs/>
                <w:sz w:val="18"/>
                <w:szCs w:val="18"/>
                <w:rtl/>
              </w:rPr>
              <w:br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D3C9B" w:rsidRPr="007D3C9B" w:rsidRDefault="007D3C9B" w:rsidP="007D3C9B">
            <w:pPr>
              <w:spacing w:after="120"/>
              <w:jc w:val="center"/>
              <w:rPr>
                <w:rFonts w:cs="AL-Hotham" w:hint="cs"/>
                <w:b/>
                <w:bCs/>
                <w:sz w:val="18"/>
                <w:szCs w:val="18"/>
                <w:rtl/>
              </w:rPr>
            </w:pPr>
            <w:r w:rsidRPr="007D3C9B">
              <w:rPr>
                <w:rFonts w:cs="AL-Hotham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7D3C9B" w:rsidRPr="007D3C9B" w:rsidRDefault="007D3C9B" w:rsidP="007D3C9B">
            <w:pPr>
              <w:spacing w:after="120"/>
              <w:jc w:val="both"/>
              <w:rPr>
                <w:rFonts w:cs="AGA Furat Regular" w:hint="cs"/>
                <w:b/>
                <w:bCs/>
                <w:sz w:val="18"/>
                <w:szCs w:val="18"/>
                <w:rtl/>
              </w:rPr>
            </w:pPr>
            <w:r w:rsidRPr="007D3C9B">
              <w:rPr>
                <w:rFonts w:cs="AGA Furat Regular"/>
                <w:b/>
                <w:bCs/>
                <w:sz w:val="18"/>
                <w:szCs w:val="18"/>
                <w:rtl/>
              </w:rPr>
              <w:t>ورجل رمى بها الزمان فشلت</w:t>
            </w:r>
            <w:r w:rsidRPr="007D3C9B">
              <w:rPr>
                <w:rFonts w:cs="AGA Furat Regular"/>
                <w:b/>
                <w:bCs/>
                <w:sz w:val="18"/>
                <w:szCs w:val="18"/>
                <w:rtl/>
              </w:rPr>
              <w:br/>
            </w:r>
          </w:p>
        </w:tc>
      </w:tr>
    </w:tbl>
    <w:p w:rsidR="007D3C9B" w:rsidRPr="007D3C9B" w:rsidRDefault="007D3C9B" w:rsidP="007D3C9B">
      <w:pPr>
        <w:pStyle w:val="NormalWeb"/>
        <w:bidi/>
        <w:spacing w:before="0" w:beforeAutospacing="0" w:after="120" w:afterAutospacing="0"/>
        <w:jc w:val="both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وقد يستعين أبو عبيدة في تخريج القراءة النادرة بسياق القرآن والآية، كما فعل في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قراءة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مالك يوم الدين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المنصوبة عنده على النداء؛ إذ قواها بقوله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: </w:t>
      </w:r>
      <w:r w:rsidRPr="007D3C9B">
        <w:rPr>
          <w:rFonts w:ascii="Simplified Arabic" w:hAnsi="Simplified Arabic" w:cs="DecoType Thuluth"/>
          <w:b/>
          <w:bCs/>
          <w:sz w:val="18"/>
          <w:szCs w:val="18"/>
          <w:rtl/>
          <w:lang w:bidi="ar-EG"/>
        </w:rPr>
        <w:t>{</w:t>
      </w:r>
      <w:r w:rsidRPr="007D3C9B">
        <w:rPr>
          <w:rFonts w:ascii="QCF_P001" w:hAnsi="QCF_P001" w:cs="QCF_P001"/>
          <w:b/>
          <w:bCs/>
          <w:sz w:val="18"/>
          <w:szCs w:val="18"/>
          <w:rtl/>
        </w:rPr>
        <w:t>ﭢ ﭣ</w:t>
      </w:r>
      <w:r w:rsidRPr="007D3C9B">
        <w:rPr>
          <w:rFonts w:ascii="QCF_P001" w:hAnsi="QCF_P001" w:cs="DecoType Thuluth"/>
          <w:b/>
          <w:bCs/>
          <w:sz w:val="18"/>
          <w:szCs w:val="18"/>
          <w:rtl/>
        </w:rPr>
        <w:t>}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[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الفاتحة: 5]؛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لكونها مثلها على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الخطاب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</w:p>
    <w:p w:rsidR="007D3C9B" w:rsidRPr="007D3C9B" w:rsidRDefault="007D3C9B" w:rsidP="007D3C9B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 w:hint="cs"/>
          <w:b/>
          <w:bCs/>
          <w:spacing w:val="-6"/>
          <w:sz w:val="18"/>
          <w:szCs w:val="18"/>
          <w:rtl/>
          <w:lang w:bidi="ar-EG"/>
        </w:rPr>
      </w:pPr>
      <w:r w:rsidRPr="007D3C9B">
        <w:rPr>
          <w:rFonts w:ascii="Simplified Arabic" w:hAnsi="Simplified Arabic" w:cs="AL-Hotham"/>
          <w:b/>
          <w:bCs/>
          <w:spacing w:val="-6"/>
          <w:sz w:val="18"/>
          <w:szCs w:val="18"/>
          <w:rtl/>
        </w:rPr>
        <w:t>وقد يعالج وجوهًا نحوية لم تبلغه قراءات، وهي قراءات شاذة، وقد يخرج بعضها</w:t>
      </w:r>
      <w:r w:rsidRPr="007D3C9B">
        <w:rPr>
          <w:rFonts w:ascii="Simplified Arabic" w:hAnsi="Simplified Arabic" w:cs="AL-Hotham"/>
          <w:b/>
          <w:bCs/>
          <w:spacing w:val="-6"/>
          <w:sz w:val="18"/>
          <w:szCs w:val="18"/>
          <w:rtl/>
          <w:lang w:bidi="ar-EG"/>
        </w:rPr>
        <w:t xml:space="preserve"> </w:t>
      </w:r>
      <w:r w:rsidRPr="007D3C9B">
        <w:rPr>
          <w:rFonts w:ascii="Simplified Arabic" w:hAnsi="Simplified Arabic" w:cs="AL-Hotham"/>
          <w:b/>
          <w:bCs/>
          <w:spacing w:val="-6"/>
          <w:sz w:val="18"/>
          <w:szCs w:val="18"/>
          <w:rtl/>
        </w:rPr>
        <w:t>مستعينًا بالفقه والتفسير، وقد يرتقي بالقراءة النادرة، فيجعلها حجة للمشهورة، وذلك من</w:t>
      </w:r>
      <w:r w:rsidRPr="007D3C9B">
        <w:rPr>
          <w:rFonts w:ascii="Simplified Arabic" w:hAnsi="Simplified Arabic" w:cs="AL-Hotham"/>
          <w:b/>
          <w:bCs/>
          <w:spacing w:val="-6"/>
          <w:sz w:val="18"/>
          <w:szCs w:val="18"/>
          <w:rtl/>
          <w:lang w:bidi="ar-EG"/>
        </w:rPr>
        <w:t xml:space="preserve"> </w:t>
      </w:r>
      <w:r w:rsidRPr="007D3C9B">
        <w:rPr>
          <w:rFonts w:ascii="Simplified Arabic" w:hAnsi="Simplified Arabic" w:cs="AL-Hotham"/>
          <w:b/>
          <w:bCs/>
          <w:spacing w:val="-6"/>
          <w:sz w:val="18"/>
          <w:szCs w:val="18"/>
          <w:rtl/>
        </w:rPr>
        <w:t>نحو اعتماده على قراءة أبي جعفر</w:t>
      </w:r>
      <w:r w:rsidRPr="007D3C9B">
        <w:rPr>
          <w:rFonts w:ascii="Simplified Arabic" w:hAnsi="Simplified Arabic" w:cs="AL-Hotham"/>
          <w:b/>
          <w:bCs/>
          <w:spacing w:val="-6"/>
          <w:sz w:val="18"/>
          <w:szCs w:val="18"/>
          <w:rtl/>
          <w:lang w:bidi="ar-EG"/>
        </w:rPr>
        <w:t>: "</w:t>
      </w:r>
      <w:r w:rsidRPr="007D3C9B">
        <w:rPr>
          <w:rFonts w:ascii="Simplified Arabic" w:hAnsi="Simplified Arabic" w:cs="AL-Hotham"/>
          <w:b/>
          <w:bCs/>
          <w:spacing w:val="-6"/>
          <w:sz w:val="18"/>
          <w:szCs w:val="18"/>
          <w:rtl/>
        </w:rPr>
        <w:t>ليجزى قوم</w:t>
      </w:r>
      <w:r w:rsidRPr="007D3C9B">
        <w:rPr>
          <w:rFonts w:ascii="Simplified Arabic" w:hAnsi="Simplified Arabic" w:cs="AL-Hotham" w:hint="cs"/>
          <w:b/>
          <w:bCs/>
          <w:spacing w:val="-6"/>
          <w:sz w:val="18"/>
          <w:szCs w:val="18"/>
          <w:rtl/>
        </w:rPr>
        <w:t>ً</w:t>
      </w:r>
      <w:r w:rsidRPr="007D3C9B">
        <w:rPr>
          <w:rFonts w:ascii="Simplified Arabic" w:hAnsi="Simplified Arabic" w:cs="AL-Hotham"/>
          <w:b/>
          <w:bCs/>
          <w:spacing w:val="-6"/>
          <w:sz w:val="18"/>
          <w:szCs w:val="18"/>
          <w:rtl/>
        </w:rPr>
        <w:t>ا</w:t>
      </w:r>
      <w:r w:rsidRPr="007D3C9B">
        <w:rPr>
          <w:rFonts w:ascii="Simplified Arabic" w:hAnsi="Simplified Arabic" w:cs="AL-Hotham"/>
          <w:b/>
          <w:bCs/>
          <w:spacing w:val="-6"/>
          <w:sz w:val="18"/>
          <w:szCs w:val="18"/>
          <w:rtl/>
          <w:lang w:bidi="ar-EG"/>
        </w:rPr>
        <w:t xml:space="preserve">" </w:t>
      </w:r>
      <w:r w:rsidRPr="007D3C9B">
        <w:rPr>
          <w:rFonts w:ascii="Simplified Arabic" w:hAnsi="Simplified Arabic" w:cs="AL-Hotham"/>
          <w:b/>
          <w:bCs/>
          <w:spacing w:val="-6"/>
          <w:sz w:val="18"/>
          <w:szCs w:val="18"/>
          <w:rtl/>
        </w:rPr>
        <w:t>في تخريج قراءة عاصم</w:t>
      </w:r>
      <w:r w:rsidRPr="007D3C9B">
        <w:rPr>
          <w:rFonts w:ascii="Simplified Arabic" w:hAnsi="Simplified Arabic" w:cs="AL-Hotham"/>
          <w:b/>
          <w:bCs/>
          <w:spacing w:val="-6"/>
          <w:sz w:val="18"/>
          <w:szCs w:val="18"/>
          <w:rtl/>
          <w:lang w:bidi="ar-EG"/>
        </w:rPr>
        <w:t>: "</w:t>
      </w:r>
      <w:r w:rsidRPr="007D3C9B">
        <w:rPr>
          <w:rFonts w:ascii="Simplified Arabic" w:hAnsi="Simplified Arabic" w:cs="AL-Hotham"/>
          <w:b/>
          <w:bCs/>
          <w:spacing w:val="-6"/>
          <w:sz w:val="18"/>
          <w:szCs w:val="18"/>
          <w:rtl/>
        </w:rPr>
        <w:t>وكذلك نُجّي</w:t>
      </w:r>
      <w:r w:rsidRPr="007D3C9B">
        <w:rPr>
          <w:rFonts w:ascii="Simplified Arabic" w:hAnsi="Simplified Arabic" w:cs="AL-Hotham"/>
          <w:b/>
          <w:bCs/>
          <w:spacing w:val="-6"/>
          <w:sz w:val="18"/>
          <w:szCs w:val="18"/>
          <w:rtl/>
          <w:lang w:bidi="ar-EG"/>
        </w:rPr>
        <w:t xml:space="preserve"> </w:t>
      </w:r>
      <w:r w:rsidRPr="007D3C9B">
        <w:rPr>
          <w:rFonts w:ascii="Simplified Arabic" w:hAnsi="Simplified Arabic" w:cs="AL-Hotham"/>
          <w:b/>
          <w:bCs/>
          <w:spacing w:val="-6"/>
          <w:sz w:val="18"/>
          <w:szCs w:val="18"/>
          <w:rtl/>
        </w:rPr>
        <w:t>المؤمنين</w:t>
      </w:r>
      <w:r w:rsidRPr="007D3C9B">
        <w:rPr>
          <w:rFonts w:ascii="Simplified Arabic" w:hAnsi="Simplified Arabic" w:cs="AL-Hotham"/>
          <w:b/>
          <w:bCs/>
          <w:spacing w:val="-6"/>
          <w:sz w:val="18"/>
          <w:szCs w:val="18"/>
          <w:rtl/>
          <w:lang w:bidi="ar-EG"/>
        </w:rPr>
        <w:t xml:space="preserve">" </w:t>
      </w:r>
      <w:r w:rsidRPr="007D3C9B">
        <w:rPr>
          <w:rFonts w:ascii="Simplified Arabic" w:hAnsi="Simplified Arabic" w:cs="AL-Hotham"/>
          <w:b/>
          <w:bCs/>
          <w:spacing w:val="-6"/>
          <w:sz w:val="18"/>
          <w:szCs w:val="18"/>
          <w:rtl/>
        </w:rPr>
        <w:t xml:space="preserve">بنون واحدة وجيم مشددة، فأبو عبيدة يقبل </w:t>
      </w:r>
      <w:r w:rsidRPr="007D3C9B">
        <w:rPr>
          <w:rFonts w:ascii="Simplified Arabic" w:hAnsi="Simplified Arabic" w:cs="Traditional Arabic"/>
          <w:b/>
          <w:bCs/>
          <w:spacing w:val="-6"/>
          <w:sz w:val="18"/>
          <w:szCs w:val="18"/>
          <w:rtl/>
        </w:rPr>
        <w:t>-</w:t>
      </w:r>
      <w:r w:rsidRPr="007D3C9B">
        <w:rPr>
          <w:rFonts w:ascii="Simplified Arabic" w:hAnsi="Simplified Arabic" w:cs="AL-Hotham"/>
          <w:b/>
          <w:bCs/>
          <w:spacing w:val="-6"/>
          <w:sz w:val="18"/>
          <w:szCs w:val="18"/>
          <w:rtl/>
        </w:rPr>
        <w:t>وهو البصري</w:t>
      </w:r>
      <w:r w:rsidRPr="007D3C9B">
        <w:rPr>
          <w:rFonts w:ascii="Simplified Arabic" w:hAnsi="Simplified Arabic" w:cs="Traditional Arabic"/>
          <w:b/>
          <w:bCs/>
          <w:spacing w:val="-6"/>
          <w:sz w:val="18"/>
          <w:szCs w:val="18"/>
          <w:rtl/>
        </w:rPr>
        <w:t>-</w:t>
      </w:r>
      <w:r w:rsidRPr="007D3C9B">
        <w:rPr>
          <w:rFonts w:ascii="Simplified Arabic" w:hAnsi="Simplified Arabic" w:cs="AL-Hotham"/>
          <w:b/>
          <w:bCs/>
          <w:spacing w:val="-6"/>
          <w:sz w:val="18"/>
          <w:szCs w:val="18"/>
          <w:rtl/>
        </w:rPr>
        <w:t xml:space="preserve"> القراءات النادرة</w:t>
      </w:r>
      <w:r w:rsidRPr="007D3C9B">
        <w:rPr>
          <w:rFonts w:ascii="Simplified Arabic" w:hAnsi="Simplified Arabic" w:cs="AL-Hotham"/>
          <w:b/>
          <w:bCs/>
          <w:spacing w:val="-6"/>
          <w:sz w:val="18"/>
          <w:szCs w:val="18"/>
          <w:rtl/>
          <w:lang w:bidi="ar-EG"/>
        </w:rPr>
        <w:t xml:space="preserve"> </w:t>
      </w:r>
      <w:r w:rsidRPr="007D3C9B">
        <w:rPr>
          <w:rFonts w:ascii="Simplified Arabic" w:hAnsi="Simplified Arabic" w:cs="AL-Hotham"/>
          <w:b/>
          <w:bCs/>
          <w:spacing w:val="-6"/>
          <w:sz w:val="18"/>
          <w:szCs w:val="18"/>
          <w:rtl/>
        </w:rPr>
        <w:t>جميعًا، ولا يرد شيئًا منها؛ لعلمه أنها سنة لا يجوز الطعن عليها</w:t>
      </w:r>
      <w:r w:rsidRPr="007D3C9B">
        <w:rPr>
          <w:rFonts w:ascii="Simplified Arabic" w:hAnsi="Simplified Arabic" w:cs="AL-Hotham"/>
          <w:b/>
          <w:bCs/>
          <w:spacing w:val="-6"/>
          <w:sz w:val="18"/>
          <w:szCs w:val="18"/>
          <w:rtl/>
          <w:lang w:bidi="ar-EG"/>
        </w:rPr>
        <w:t>.</w:t>
      </w:r>
    </w:p>
    <w:p w:rsidR="007D3C9B" w:rsidRPr="007D3C9B" w:rsidRDefault="007D3C9B" w:rsidP="007D3C9B">
      <w:pPr>
        <w:pStyle w:val="NormalWeb"/>
        <w:bidi/>
        <w:spacing w:before="0" w:beforeAutospacing="0"/>
        <w:jc w:val="lowKashida"/>
        <w:rPr>
          <w:rFonts w:ascii="Simplified Arabic" w:hAnsi="Simplified Arabic" w:cs="AL-Hotham" w:hint="cs"/>
          <w:b/>
          <w:bCs/>
          <w:sz w:val="18"/>
          <w:szCs w:val="18"/>
          <w:rtl/>
        </w:rPr>
      </w:pP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أبو عبيد القاسم بن سلام</w:t>
      </w:r>
      <w:r w:rsidRPr="007D3C9B">
        <w:rPr>
          <w:rFonts w:ascii="Simplified Arabic" w:hAnsi="Simplified Arabic" w:cs="AL-Hotham" w:hint="cs"/>
          <w:b/>
          <w:bCs/>
          <w:sz w:val="18"/>
          <w:szCs w:val="18"/>
          <w:rtl/>
        </w:rPr>
        <w:t>:</w:t>
      </w:r>
    </w:p>
    <w:p w:rsidR="007D3C9B" w:rsidRPr="007D3C9B" w:rsidRDefault="007D3C9B" w:rsidP="007D3C9B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 w:hint="cs"/>
          <w:b/>
          <w:bCs/>
          <w:sz w:val="18"/>
          <w:szCs w:val="18"/>
          <w:rtl/>
          <w:lang w:bidi="ar-EG"/>
        </w:rPr>
      </w:pP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ننتقل بعد ذلك إلى أب</w:t>
      </w:r>
      <w:r w:rsidRPr="007D3C9B">
        <w:rPr>
          <w:rFonts w:ascii="Simplified Arabic" w:hAnsi="Simplified Arabic" w:cs="AL-Hotham" w:hint="cs"/>
          <w:b/>
          <w:bCs/>
          <w:sz w:val="18"/>
          <w:szCs w:val="18"/>
          <w:rtl/>
        </w:rPr>
        <w:t>ي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عبيد القاسم بن سلام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المتوفى سنة ثلاث وعشرين بعد المائتين،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كان أبو عبيد على خلاف من تقدمه من النحاة؛ لموقفه العام من القراءات، على الرغم من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أنه أخذ العلم عن الكسائي، وأبي عبيدة، وأكثر من الاشتغال بفن القراءات، فقد استبد به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المنهج النحوي،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وجعله ينكر كثيرًا من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القراءات المشهورة، بل النادرة،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فوصف قراءة حمزة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بمصرخي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بالغلط، ورد غيرها رد</w:t>
      </w:r>
      <w:r w:rsidRPr="007D3C9B">
        <w:rPr>
          <w:rFonts w:ascii="Simplified Arabic" w:hAnsi="Simplified Arabic" w:cs="AL-Hotham" w:hint="cs"/>
          <w:b/>
          <w:bCs/>
          <w:sz w:val="18"/>
          <w:szCs w:val="18"/>
          <w:rtl/>
        </w:rPr>
        <w:t>ًّ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ا شنيع</w:t>
      </w:r>
      <w:r w:rsidRPr="007D3C9B">
        <w:rPr>
          <w:rFonts w:ascii="Simplified Arabic" w:hAnsi="Simplified Arabic" w:cs="AL-Hotham" w:hint="cs"/>
          <w:b/>
          <w:bCs/>
          <w:sz w:val="18"/>
          <w:szCs w:val="18"/>
          <w:rtl/>
        </w:rPr>
        <w:t>ً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ا </w:t>
      </w:r>
      <w:r w:rsidRPr="007D3C9B">
        <w:rPr>
          <w:rFonts w:ascii="Simplified Arabic" w:hAnsi="Simplified Arabic" w:cs="Traditional Arabic"/>
          <w:b/>
          <w:bCs/>
          <w:sz w:val="18"/>
          <w:szCs w:val="18"/>
          <w:rtl/>
        </w:rPr>
        <w:t>-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كما يقول أبو جعفر النحاس</w:t>
      </w:r>
      <w:r w:rsidRPr="007D3C9B">
        <w:rPr>
          <w:rFonts w:ascii="Simplified Arabic" w:hAnsi="Simplified Arabic" w:cs="Traditional Arabic"/>
          <w:b/>
          <w:bCs/>
          <w:sz w:val="18"/>
          <w:szCs w:val="18"/>
          <w:rtl/>
        </w:rPr>
        <w:t>-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وأساء الظن ببعضها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الآخر، وقد انسحب موقفه هذا على القراءات النادرة، والحروف المخالفة؛ فأنكر عددًا منها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نحو قراءة الأعمش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ومن النخل من طلعها قنوان دانية وجنات</w:t>
      </w:r>
      <w:r w:rsidRPr="007D3C9B">
        <w:rPr>
          <w:rFonts w:ascii="Simplified Arabic" w:hAnsi="Simplified Arabic" w:cs="AL-Hotham" w:hint="cs"/>
          <w:b/>
          <w:bCs/>
          <w:sz w:val="18"/>
          <w:szCs w:val="18"/>
          <w:rtl/>
        </w:rPr>
        <w:t>ٌ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من أعناب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>برفع جنات، وقبل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عددًا آخر مما يوافق مذهبه النحوي، بل إننا نجده أحيانًا يتعلق بها، </w:t>
      </w:r>
      <w:r w:rsidRPr="007D3C9B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ولا يستثنيه عنها</w:t>
      </w:r>
      <w:r w:rsidRPr="007D3C9B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</w:t>
      </w:r>
      <w:r w:rsidRPr="007D3C9B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إلا إجماع العامة على خلافها، فقد فضل قراءة مجاهد</w:t>
      </w:r>
      <w:r w:rsidRPr="007D3C9B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>: "</w:t>
      </w:r>
      <w:r w:rsidRPr="007D3C9B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يومئذ يوفيهم الله دينهم الحق</w:t>
      </w:r>
      <w:r w:rsidRPr="007D3C9B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" </w:t>
      </w:r>
      <w:r w:rsidRPr="007D3C9B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برفع الحق مستعينًا بحرف أبي</w:t>
      </w:r>
      <w:r w:rsidRPr="007D3C9B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>: "</w:t>
      </w:r>
      <w:r w:rsidRPr="007D3C9B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يومئذ يوفيهم الله الحق دينهم</w:t>
      </w:r>
      <w:r w:rsidRPr="007D3C9B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>"</w:t>
      </w:r>
      <w:r w:rsidRPr="007D3C9B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، قال: ولولا كراهية</w:t>
      </w:r>
      <w:r w:rsidRPr="007D3C9B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</w:t>
      </w:r>
      <w:r w:rsidRPr="007D3C9B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 xml:space="preserve">خلاف الناس لكان الوجه الرفع ليكون نعتًا لله </w:t>
      </w:r>
      <w:r w:rsidRPr="007D3C9B">
        <w:rPr>
          <w:rFonts w:ascii="AGA Arabesque" w:hAnsi="AGA Arabesque" w:cs="Simplified Arabic"/>
          <w:b/>
          <w:bCs/>
          <w:spacing w:val="-4"/>
          <w:position w:val="-4"/>
          <w:sz w:val="18"/>
          <w:szCs w:val="18"/>
        </w:rPr>
        <w:t>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وليكون موافقًا لقراءة أبي</w:t>
      </w:r>
      <w:r w:rsidRPr="007D3C9B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7D3C9B" w:rsidRPr="007D3C9B" w:rsidRDefault="007D3C9B" w:rsidP="007D3C9B">
      <w:pPr>
        <w:jc w:val="lowKashida"/>
        <w:rPr>
          <w:rFonts w:asciiTheme="majorBidi" w:hAnsiTheme="majorBidi" w:cstheme="majorBidi" w:hint="cs"/>
          <w:b/>
          <w:bCs/>
          <w:sz w:val="18"/>
          <w:szCs w:val="18"/>
        </w:rPr>
      </w:pPr>
      <w:r w:rsidRPr="007D3C9B">
        <w:rPr>
          <w:rFonts w:asciiTheme="majorBidi" w:hAnsiTheme="majorBidi" w:cstheme="majorBidi" w:hint="cs"/>
          <w:b/>
          <w:bCs/>
          <w:sz w:val="18"/>
          <w:szCs w:val="18"/>
          <w:rtl/>
        </w:rPr>
        <w:t>المراجع والمصادر</w:t>
      </w:r>
    </w:p>
    <w:p w:rsidR="007D3C9B" w:rsidRPr="007D3C9B" w:rsidRDefault="007D3C9B" w:rsidP="007D3C9B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7D3C9B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(المحتسب في تبيين وجوه شواذ القراءات والإيضاح عنها) </w:t>
      </w:r>
    </w:p>
    <w:p w:rsidR="007D3C9B" w:rsidRPr="007D3C9B" w:rsidRDefault="007D3C9B" w:rsidP="007D3C9B">
      <w:pPr>
        <w:ind w:left="46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7D3C9B">
        <w:rPr>
          <w:rFonts w:asciiTheme="majorBidi" w:hAnsiTheme="majorBidi" w:cstheme="majorBidi"/>
          <w:b/>
          <w:bCs/>
          <w:sz w:val="18"/>
          <w:szCs w:val="18"/>
          <w:rtl/>
        </w:rPr>
        <w:t>أبو الفتح عثمان بن جني،  بتحقيق علي النجدي ناصف وزميليه، القاهرة، طبعة المجلس الأعلى للشئون الإسلامية، 1994م</w:t>
      </w:r>
    </w:p>
    <w:p w:rsidR="007D3C9B" w:rsidRPr="007D3C9B" w:rsidRDefault="007D3C9B" w:rsidP="007D3C9B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7D3C9B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(مرشد الأعزة في بيان موقف العلماء من القراءات الشاذة) </w:t>
      </w:r>
    </w:p>
    <w:p w:rsidR="007D3C9B" w:rsidRPr="007D3C9B" w:rsidRDefault="007D3C9B" w:rsidP="007D3C9B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7D3C9B">
        <w:rPr>
          <w:rFonts w:asciiTheme="majorBidi" w:hAnsiTheme="majorBidi" w:cstheme="majorBidi"/>
          <w:b/>
          <w:bCs/>
          <w:sz w:val="18"/>
          <w:szCs w:val="18"/>
          <w:rtl/>
        </w:rPr>
        <w:t>عبد الكريم إبراهيم صالح،  دار المحدثين, 2006م</w:t>
      </w:r>
    </w:p>
    <w:p w:rsidR="007D3C9B" w:rsidRPr="007D3C9B" w:rsidRDefault="007D3C9B" w:rsidP="007D3C9B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7D3C9B">
        <w:rPr>
          <w:rFonts w:asciiTheme="majorBidi" w:hAnsiTheme="majorBidi" w:cstheme="majorBidi"/>
          <w:b/>
          <w:bCs/>
          <w:sz w:val="18"/>
          <w:szCs w:val="18"/>
        </w:rPr>
        <w:t>)</w:t>
      </w:r>
      <w:r w:rsidRPr="007D3C9B">
        <w:rPr>
          <w:rFonts w:asciiTheme="majorBidi" w:hAnsiTheme="majorBidi" w:cstheme="majorBidi"/>
          <w:b/>
          <w:bCs/>
          <w:sz w:val="18"/>
          <w:szCs w:val="18"/>
          <w:rtl/>
        </w:rPr>
        <w:t xml:space="preserve">إعراب القراءات الشواذ) </w:t>
      </w:r>
    </w:p>
    <w:p w:rsidR="007D3C9B" w:rsidRPr="007D3C9B" w:rsidRDefault="007D3C9B" w:rsidP="007D3C9B">
      <w:pPr>
        <w:ind w:left="567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7D3C9B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>أبو البقاء العكبري،  بتحقيق محمد السيد أحمد عزوز،  عالم الكتب, 1996م</w:t>
      </w:r>
    </w:p>
    <w:p w:rsidR="007D3C9B" w:rsidRPr="007D3C9B" w:rsidRDefault="007D3C9B" w:rsidP="007D3C9B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7D3C9B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(الاختلاف بين القراءات) </w:t>
      </w:r>
    </w:p>
    <w:p w:rsidR="007D3C9B" w:rsidRPr="007D3C9B" w:rsidRDefault="007D3C9B" w:rsidP="007D3C9B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7D3C9B">
        <w:rPr>
          <w:rFonts w:asciiTheme="majorBidi" w:hAnsiTheme="majorBidi" w:cstheme="majorBidi"/>
          <w:b/>
          <w:bCs/>
          <w:sz w:val="18"/>
          <w:szCs w:val="18"/>
          <w:rtl/>
        </w:rPr>
        <w:t>أحمد البيلي،  بيروت، دار الجبل، 1988م</w:t>
      </w:r>
    </w:p>
    <w:p w:rsidR="007D3C9B" w:rsidRPr="007D3C9B" w:rsidRDefault="007D3C9B" w:rsidP="007D3C9B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7D3C9B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(القراءات الشاذة وتوجيهها النحوي) </w:t>
      </w:r>
    </w:p>
    <w:p w:rsidR="007D3C9B" w:rsidRPr="007D3C9B" w:rsidRDefault="007D3C9B" w:rsidP="007D3C9B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7D3C9B">
        <w:rPr>
          <w:rFonts w:asciiTheme="majorBidi" w:hAnsiTheme="majorBidi" w:cstheme="majorBidi"/>
          <w:b/>
          <w:bCs/>
          <w:sz w:val="18"/>
          <w:szCs w:val="18"/>
          <w:rtl/>
        </w:rPr>
        <w:t>محمود أحمد الصغير، بيروت، دار الفكر المعاصر, 1999م</w:t>
      </w:r>
    </w:p>
    <w:p w:rsidR="007D3C9B" w:rsidRPr="007D3C9B" w:rsidRDefault="007D3C9B" w:rsidP="007D3C9B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7D3C9B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(كتاب المصاحف) </w:t>
      </w:r>
    </w:p>
    <w:p w:rsidR="007D3C9B" w:rsidRPr="007D3C9B" w:rsidRDefault="007D3C9B" w:rsidP="007D3C9B">
      <w:pPr>
        <w:ind w:left="567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7D3C9B">
        <w:rPr>
          <w:rFonts w:asciiTheme="majorBidi" w:hAnsiTheme="majorBidi" w:cstheme="majorBidi"/>
          <w:b/>
          <w:bCs/>
          <w:sz w:val="18"/>
          <w:szCs w:val="18"/>
          <w:rtl/>
        </w:rPr>
        <w:t>أبو بكر عبد الله بن أبي داود سليمان بن الأشعث السجستاني، بيروت، دار الكتب العلمية, 1985م</w:t>
      </w:r>
    </w:p>
    <w:p w:rsidR="007D3C9B" w:rsidRPr="007D3C9B" w:rsidRDefault="007D3C9B" w:rsidP="007D3C9B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7D3C9B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(مختصر في شواذ القران من كتاب البديع أو القراءات الشاذة) </w:t>
      </w:r>
    </w:p>
    <w:p w:rsidR="007D3C9B" w:rsidRPr="007D3C9B" w:rsidRDefault="007D3C9B" w:rsidP="007D3C9B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7D3C9B">
        <w:rPr>
          <w:rFonts w:asciiTheme="majorBidi" w:hAnsiTheme="majorBidi" w:cstheme="majorBidi"/>
          <w:b/>
          <w:bCs/>
          <w:sz w:val="18"/>
          <w:szCs w:val="18"/>
          <w:rtl/>
        </w:rPr>
        <w:t>الحسين بن احمد ابن خالويه، دار الهجرة،  1934م</w:t>
      </w:r>
    </w:p>
    <w:p w:rsidR="007D3C9B" w:rsidRPr="007D3C9B" w:rsidRDefault="007D3C9B" w:rsidP="007D3C9B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7D3C9B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(القراءات القرآنية في بلاد الشام) </w:t>
      </w:r>
    </w:p>
    <w:p w:rsidR="007D3C9B" w:rsidRPr="007D3C9B" w:rsidRDefault="007D3C9B" w:rsidP="007D3C9B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7D3C9B">
        <w:rPr>
          <w:rFonts w:asciiTheme="majorBidi" w:hAnsiTheme="majorBidi" w:cstheme="majorBidi"/>
          <w:b/>
          <w:bCs/>
          <w:sz w:val="18"/>
          <w:szCs w:val="18"/>
          <w:rtl/>
        </w:rPr>
        <w:t>حسين عطوان، بيروت، دار الجيل, 1982م</w:t>
      </w:r>
    </w:p>
    <w:p w:rsidR="007D3C9B" w:rsidRPr="007D3C9B" w:rsidRDefault="007D3C9B" w:rsidP="007D3C9B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7D3C9B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(القراءات الشاذة وتوجيهها من لغة العرب) </w:t>
      </w:r>
    </w:p>
    <w:p w:rsidR="007D3C9B" w:rsidRPr="007D3C9B" w:rsidRDefault="007D3C9B" w:rsidP="007D3C9B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7D3C9B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>عبد الفتاح القاضي، الهيئة العامة لشئون المطابع الأميرية، 1975م</w:t>
      </w:r>
    </w:p>
    <w:p w:rsidR="007D3C9B" w:rsidRPr="007D3C9B" w:rsidRDefault="007D3C9B" w:rsidP="007D3C9B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7D3C9B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(اليزيدي القارئ النحوي دراسة نحوية قرآنية) </w:t>
      </w:r>
    </w:p>
    <w:p w:rsidR="007D3C9B" w:rsidRPr="007D3C9B" w:rsidRDefault="007D3C9B" w:rsidP="007D3C9B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7D3C9B">
        <w:rPr>
          <w:rFonts w:asciiTheme="majorBidi" w:hAnsiTheme="majorBidi" w:cstheme="majorBidi"/>
          <w:b/>
          <w:bCs/>
          <w:sz w:val="18"/>
          <w:szCs w:val="18"/>
          <w:rtl/>
        </w:rPr>
        <w:t>محمد أحمد علي سحلول ،  دار الحسين الإسلامية, 1989م.</w:t>
      </w:r>
    </w:p>
    <w:p w:rsidR="007D3C9B" w:rsidRPr="007D3C9B" w:rsidRDefault="007D3C9B" w:rsidP="007D3C9B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7D3C9B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(شواهد القراءات بين ابن هشام وابن عقيل، دراسة نحوية تحليلية) </w:t>
      </w:r>
    </w:p>
    <w:p w:rsidR="007D3C9B" w:rsidRPr="007D3C9B" w:rsidRDefault="007D3C9B" w:rsidP="007D3C9B">
      <w:pPr>
        <w:ind w:left="284" w:firstLine="436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7D3C9B">
        <w:rPr>
          <w:rFonts w:asciiTheme="majorBidi" w:hAnsiTheme="majorBidi" w:cstheme="majorBidi"/>
          <w:b/>
          <w:bCs/>
          <w:sz w:val="18"/>
          <w:szCs w:val="18"/>
          <w:rtl/>
        </w:rPr>
        <w:t>محمد أحمد علي سحلول،  دار الطباعة المحمدية, 1993م</w:t>
      </w:r>
    </w:p>
    <w:p w:rsidR="007D3C9B" w:rsidRPr="007D3C9B" w:rsidRDefault="007D3C9B" w:rsidP="007D3C9B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7D3C9B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(قراءة أبي السمال العدوي) </w:t>
      </w:r>
    </w:p>
    <w:p w:rsidR="007D3C9B" w:rsidRPr="007D3C9B" w:rsidRDefault="007D3C9B" w:rsidP="007D3C9B">
      <w:pPr>
        <w:ind w:left="284" w:firstLine="436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7D3C9B">
        <w:rPr>
          <w:rFonts w:asciiTheme="majorBidi" w:hAnsiTheme="majorBidi" w:cstheme="majorBidi"/>
          <w:b/>
          <w:bCs/>
          <w:sz w:val="18"/>
          <w:szCs w:val="18"/>
          <w:rtl/>
        </w:rPr>
        <w:t>حمدي عبد الفتاح مصطفى خليل، الجريس، القاهرة, 2000م</w:t>
      </w:r>
    </w:p>
    <w:p w:rsidR="007D3C9B" w:rsidRPr="007D3C9B" w:rsidRDefault="007D3C9B" w:rsidP="007D3C9B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7D3C9B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(قراءة عبد الله بن مسعود مكانتها ومصادرها إحصاؤها) </w:t>
      </w:r>
    </w:p>
    <w:p w:rsidR="007D3C9B" w:rsidRPr="007D3C9B" w:rsidRDefault="007D3C9B" w:rsidP="007D3C9B">
      <w:pPr>
        <w:pStyle w:val="NormalWeb"/>
        <w:bidi/>
        <w:spacing w:before="0" w:beforeAutospacing="0" w:after="0" w:afterAutospacing="0"/>
        <w:ind w:left="284" w:firstLine="436"/>
        <w:jc w:val="both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  <w:r w:rsidRPr="007D3C9B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محمد أحمد خاطر، دار الاعتصام, 1990م</w:t>
      </w:r>
    </w:p>
    <w:p w:rsidR="007D3C9B" w:rsidRPr="007D3C9B" w:rsidRDefault="007D3C9B" w:rsidP="007D3C9B">
      <w:pPr>
        <w:rPr>
          <w:rFonts w:hint="cs"/>
          <w:b/>
          <w:bCs/>
          <w:sz w:val="18"/>
          <w:szCs w:val="18"/>
        </w:rPr>
      </w:pPr>
    </w:p>
    <w:p w:rsidR="007D3C9B" w:rsidRPr="007D3C9B" w:rsidRDefault="007D3C9B" w:rsidP="007D3C9B">
      <w:pPr>
        <w:jc w:val="center"/>
        <w:rPr>
          <w:rFonts w:asciiTheme="majorBidi" w:eastAsia="Calibri" w:hAnsiTheme="majorBidi" w:cstheme="majorBidi"/>
          <w:b/>
          <w:bCs/>
          <w:sz w:val="18"/>
          <w:szCs w:val="18"/>
        </w:rPr>
      </w:pPr>
    </w:p>
    <w:p w:rsidR="007D3C9B" w:rsidRDefault="007D3C9B" w:rsidP="007D3C9B">
      <w:pPr>
        <w:jc w:val="center"/>
        <w:rPr>
          <w:rFonts w:asciiTheme="majorBidi" w:eastAsia="Calibri" w:hAnsiTheme="majorBidi" w:cstheme="majorBidi"/>
          <w:b/>
          <w:bCs/>
          <w:sz w:val="48"/>
          <w:szCs w:val="48"/>
          <w:rtl/>
        </w:rPr>
        <w:sectPr w:rsidR="007D3C9B" w:rsidSect="007D3C9B">
          <w:type w:val="continuous"/>
          <w:pgSz w:w="11906" w:h="16838"/>
          <w:pgMar w:top="1440" w:right="1800" w:bottom="1440" w:left="1800" w:header="708" w:footer="708" w:gutter="0"/>
          <w:cols w:num="2" w:space="708"/>
          <w:bidi/>
          <w:rtlGutter/>
          <w:docGrid w:linePitch="360"/>
        </w:sectPr>
      </w:pPr>
    </w:p>
    <w:p w:rsidR="004219C3" w:rsidRPr="007D3C9B" w:rsidRDefault="004219C3" w:rsidP="007D3C9B">
      <w:pPr>
        <w:jc w:val="center"/>
        <w:rPr>
          <w:rFonts w:asciiTheme="majorBidi" w:eastAsia="Calibri" w:hAnsiTheme="majorBidi" w:cstheme="majorBidi"/>
          <w:b/>
          <w:bCs/>
          <w:sz w:val="48"/>
          <w:szCs w:val="48"/>
        </w:rPr>
      </w:pPr>
    </w:p>
    <w:sectPr w:rsidR="004219C3" w:rsidRPr="007D3C9B" w:rsidSect="007D3C9B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Hotha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Furat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QCF_P21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5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0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2">
    <w:nsid w:val="54AF07C7"/>
    <w:multiLevelType w:val="hybridMultilevel"/>
    <w:tmpl w:val="3DB6F57A"/>
    <w:lvl w:ilvl="0" w:tplc="ED521654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D3C9B"/>
    <w:rsid w:val="001A2769"/>
    <w:rsid w:val="004168A0"/>
    <w:rsid w:val="004219C3"/>
    <w:rsid w:val="004A286F"/>
    <w:rsid w:val="007D3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C9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D3C9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D3C9B"/>
    <w:pPr>
      <w:bidi w:val="0"/>
      <w:spacing w:before="100" w:beforeAutospacing="1" w:after="100" w:afterAutospacing="1"/>
    </w:pPr>
    <w:rPr>
      <w:lang w:bidi="ar-SA"/>
    </w:rPr>
  </w:style>
  <w:style w:type="character" w:styleId="Hyperlink">
    <w:name w:val="Hyperlink"/>
    <w:basedOn w:val="DefaultParagraphFont"/>
    <w:uiPriority w:val="99"/>
    <w:unhideWhenUsed/>
    <w:rsid w:val="007D3C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hmedmsamir5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4592</Characters>
  <Application>Microsoft Office Word</Application>
  <DocSecurity>0</DocSecurity>
  <Lines>38</Lines>
  <Paragraphs>10</Paragraphs>
  <ScaleCrop>false</ScaleCrop>
  <Company>Fannan</Company>
  <LinksUpToDate>false</LinksUpToDate>
  <CharactersWithSpaces>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Fannan NewLook V5</cp:lastModifiedBy>
  <cp:revision>1</cp:revision>
  <dcterms:created xsi:type="dcterms:W3CDTF">2013-06-16T14:48:00Z</dcterms:created>
  <dcterms:modified xsi:type="dcterms:W3CDTF">2013-06-16T14:53:00Z</dcterms:modified>
</cp:coreProperties>
</file>