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72" w:rsidRDefault="00EA4472" w:rsidP="00EA4472">
      <w:pPr>
        <w:spacing w:before="60"/>
        <w:jc w:val="center"/>
        <w:rPr>
          <w:rFonts w:asciiTheme="majorBidi" w:eastAsia="Calibri" w:hAnsiTheme="majorBidi" w:cstheme="majorBidi" w:hint="cs"/>
          <w:b/>
          <w:bCs/>
          <w:sz w:val="48"/>
          <w:szCs w:val="48"/>
          <w:rtl/>
        </w:rPr>
      </w:pPr>
      <w:r w:rsidRPr="00EA4472">
        <w:rPr>
          <w:rFonts w:asciiTheme="majorBidi" w:eastAsia="Calibri" w:hAnsiTheme="majorBidi" w:cstheme="majorBidi" w:hint="cs"/>
          <w:b/>
          <w:bCs/>
          <w:sz w:val="48"/>
          <w:szCs w:val="48"/>
          <w:rtl/>
        </w:rPr>
        <w:t>موقف النحاة حتى القرن الثالث</w:t>
      </w:r>
    </w:p>
    <w:p w:rsidR="00EA4472" w:rsidRPr="00F7753E" w:rsidRDefault="00EA4472" w:rsidP="00EA4472">
      <w:pPr>
        <w:jc w:val="center"/>
        <w:rPr>
          <w:rFonts w:asciiTheme="majorBidi" w:eastAsia="Calibri" w:hAnsiTheme="majorBidi" w:cstheme="majorBidi"/>
          <w:sz w:val="18"/>
          <w:szCs w:val="18"/>
          <w:rtl/>
        </w:rPr>
      </w:pPr>
      <w:r w:rsidRPr="00F7753E">
        <w:rPr>
          <w:rFonts w:asciiTheme="majorBidi" w:hAnsiTheme="majorBidi" w:cstheme="majorBidi"/>
          <w:sz w:val="18"/>
          <w:szCs w:val="18"/>
          <w:rtl/>
        </w:rPr>
        <w:t xml:space="preserve">مبحث فى </w:t>
      </w:r>
      <w:r w:rsidRPr="00F7753E">
        <w:rPr>
          <w:rFonts w:asciiTheme="majorBidi" w:hAnsiTheme="majorBidi" w:cstheme="majorBidi" w:hint="cs"/>
          <w:sz w:val="18"/>
          <w:szCs w:val="18"/>
          <w:rtl/>
        </w:rPr>
        <w:t xml:space="preserve">علم </w:t>
      </w:r>
      <w:r w:rsidRPr="00F7753E">
        <w:rPr>
          <w:rFonts w:asciiTheme="majorBidi" w:eastAsia="Calibri" w:hAnsiTheme="majorBidi" w:cstheme="majorBidi" w:hint="cs"/>
          <w:sz w:val="18"/>
          <w:szCs w:val="18"/>
          <w:rtl/>
        </w:rPr>
        <w:t>القراءات الشاذه</w:t>
      </w:r>
    </w:p>
    <w:p w:rsidR="00EA4472" w:rsidRPr="00426F7E" w:rsidRDefault="00EA4472" w:rsidP="00EA4472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إعداد / أحمد محمد سمير</w:t>
      </w:r>
    </w:p>
    <w:p w:rsidR="00EA4472" w:rsidRPr="00426F7E" w:rsidRDefault="00EA4472" w:rsidP="00EA4472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قسم الدعوة وأصول الدين</w:t>
      </w:r>
    </w:p>
    <w:p w:rsidR="00EA4472" w:rsidRPr="00426F7E" w:rsidRDefault="00EA4472" w:rsidP="00EA4472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كلية العلوم الإسلامية – جامعة المدينة العالمية</w:t>
      </w:r>
    </w:p>
    <w:p w:rsidR="00EA4472" w:rsidRPr="00426F7E" w:rsidRDefault="00EA4472" w:rsidP="00EA4472">
      <w:pPr>
        <w:jc w:val="center"/>
        <w:rPr>
          <w:rFonts w:asciiTheme="majorBidi" w:hAnsiTheme="majorBidi" w:cstheme="majorBidi"/>
          <w:sz w:val="18"/>
          <w:szCs w:val="18"/>
          <w:rtl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شاه علم - ماليزيا</w:t>
      </w:r>
    </w:p>
    <w:p w:rsidR="00EA4472" w:rsidRDefault="00EA4472" w:rsidP="00EA4472">
      <w:pPr>
        <w:tabs>
          <w:tab w:val="left" w:pos="4050"/>
        </w:tabs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hyperlink r:id="rId6" w:history="1">
        <w:r w:rsidRPr="00DE0243">
          <w:rPr>
            <w:rStyle w:val="Hyperlink"/>
            <w:rFonts w:asciiTheme="majorBidi" w:hAnsiTheme="majorBidi" w:cstheme="majorBidi"/>
            <w:b/>
            <w:bCs/>
            <w:sz w:val="18"/>
            <w:szCs w:val="18"/>
          </w:rPr>
          <w:t>Ahmedmsamir54@gmail.com</w:t>
        </w:r>
      </w:hyperlink>
    </w:p>
    <w:p w:rsidR="00EA4472" w:rsidRPr="00426F7E" w:rsidRDefault="00EA4472" w:rsidP="00EA4472">
      <w:pPr>
        <w:tabs>
          <w:tab w:val="left" w:pos="4050"/>
        </w:tabs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:rsidR="00EA4472" w:rsidRDefault="00EA4472" w:rsidP="00EA4472">
      <w:pPr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  <w:sectPr w:rsidR="00EA4472" w:rsidSect="004168A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EA4472" w:rsidRPr="00EA4472" w:rsidRDefault="00EA4472" w:rsidP="00EA4472">
      <w:pPr>
        <w:jc w:val="center"/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</w:pPr>
      <w:r w:rsidRPr="00EA4472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الخلاصة – هذا البحث يبحث فى </w:t>
      </w:r>
      <w:r w:rsidRPr="00EA4472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موقف النحاة حتى القرن الثالث</w:t>
      </w:r>
    </w:p>
    <w:p w:rsidR="00EA4472" w:rsidRPr="00EA4472" w:rsidRDefault="00EA4472" w:rsidP="00EA4472">
      <w:pPr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</w:p>
    <w:p w:rsidR="00EA4472" w:rsidRPr="00EA4472" w:rsidRDefault="00EA4472" w:rsidP="00EA4472">
      <w:pPr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  <w:r w:rsidRPr="00EA4472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الكلمات المفتاحية – </w:t>
      </w:r>
      <w:r w:rsidRPr="00EA4472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موقفه، الكشف، سيبويه</w:t>
      </w:r>
    </w:p>
    <w:p w:rsidR="00EA4472" w:rsidRPr="00EA4472" w:rsidRDefault="00EA4472" w:rsidP="00EA4472">
      <w:pPr>
        <w:numPr>
          <w:ilvl w:val="0"/>
          <w:numId w:val="2"/>
        </w:numPr>
        <w:spacing w:after="200"/>
        <w:ind w:left="64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A4472">
        <w:rPr>
          <w:rFonts w:asciiTheme="majorBidi" w:hAnsiTheme="majorBidi" w:cstheme="majorBidi"/>
          <w:b/>
          <w:bCs/>
          <w:sz w:val="18"/>
          <w:szCs w:val="18"/>
          <w:rtl/>
        </w:rPr>
        <w:t>.المقدمة</w:t>
      </w:r>
    </w:p>
    <w:p w:rsidR="00EA4472" w:rsidRPr="00EA4472" w:rsidRDefault="00EA4472" w:rsidP="00EA4472">
      <w:pPr>
        <w:jc w:val="center"/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</w:pPr>
      <w:r w:rsidRPr="00EA447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</w:t>
      </w:r>
      <w:r w:rsidRPr="00EA4472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موقف النحاة حتى القرن الثالث</w:t>
      </w:r>
    </w:p>
    <w:p w:rsidR="00EA4472" w:rsidRPr="00EA4472" w:rsidRDefault="00EA4472" w:rsidP="00EA4472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EA4472" w:rsidRPr="00EA4472" w:rsidRDefault="00EA4472" w:rsidP="00EA4472">
      <w:pPr>
        <w:numPr>
          <w:ilvl w:val="0"/>
          <w:numId w:val="3"/>
        </w:numPr>
        <w:spacing w:after="200"/>
        <w:ind w:left="73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A4472">
        <w:rPr>
          <w:rFonts w:asciiTheme="majorBidi" w:hAnsiTheme="majorBidi" w:cstheme="majorBidi"/>
          <w:b/>
          <w:bCs/>
          <w:sz w:val="18"/>
          <w:szCs w:val="18"/>
          <w:rtl/>
        </w:rPr>
        <w:t>.عنوان المقال</w:t>
      </w:r>
    </w:p>
    <w:p w:rsidR="00EA4472" w:rsidRPr="00EA4472" w:rsidRDefault="00EA4472" w:rsidP="00EA4472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</w:pP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سيبويه</w:t>
      </w:r>
    </w:p>
    <w:p w:rsidR="00EA4472" w:rsidRPr="00EA4472" w:rsidRDefault="00EA4472" w:rsidP="00EA4472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لم يكن سيبويه يرمي في كتابه إلى تبيين موقفه من القراءات، أو الكشف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عن وجوهها، وإنما كان في سبيل عرض الأصول النحوية التي وجدها في لغة العرب من قرآن،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وقراءات، وشعر، وأمثال، ولهجات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EA4472" w:rsidRPr="00EA4472" w:rsidRDefault="00EA4472" w:rsidP="00EA4472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 w:hint="cs"/>
          <w:b/>
          <w:bCs/>
          <w:sz w:val="18"/>
          <w:szCs w:val="18"/>
          <w:lang w:bidi="ar-EG"/>
        </w:rPr>
      </w:pP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وقد استعان بالقراءات النادرة، والحروف المخالفة في بيان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أصوله، مثلما استعان بالقراءات المعروفة، وطوعها كسائر المصادر لمقاييسه؛ فجاءت في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كتابه منثورة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في مواقع مختلفة، فمرة نجده يثبت بها قاعدة، ومرة يؤيد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القاعدة بها، وثالثة يقيس عليها، ورابعة يجعلها أصلًا، يخرج عليه بعض القراءات، وخامسة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يُقوي بها شاهدًا شعري</w:t>
      </w:r>
      <w:r w:rsidRPr="00EA4472">
        <w:rPr>
          <w:rFonts w:ascii="Simplified Arabic" w:hAnsi="Simplified Arabic" w:cs="AL-Hotham" w:hint="cs"/>
          <w:b/>
          <w:bCs/>
          <w:sz w:val="18"/>
          <w:szCs w:val="18"/>
          <w:rtl/>
        </w:rPr>
        <w:t>ًّ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ا، وسادسة يحملها على بعض أقوال العرب، وسابعة يوردها مثالًا في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زحمة الأمثلة، فلا يثير مشكلة، أو نقاشًا. أما إذا اصطدمت القراءة بمقاييسه: فإننا لا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نجده يعدم المخرج، والملاك العام لديه هو القبول، والاحتراز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EA4472" w:rsidRPr="00EA4472" w:rsidRDefault="00EA4472" w:rsidP="00EA4472">
      <w:pPr>
        <w:pStyle w:val="NormalWeb"/>
        <w:bidi/>
        <w:spacing w:before="0" w:beforeAutospacing="0" w:after="120" w:afterAutospacing="0"/>
        <w:jc w:val="both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من هنا، فقد أجاز لقراءة بعضهم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وإن تبدوا ما في أنفسكم أو تخفوه يحاسبكم به الله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فيغفرَ لمن يشاء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بنصب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يغفر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، العطف على جواب الشرط بإضمار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أن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بعدها. وأجاز بقراءة ناس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من الكوفيين</w:t>
      </w:r>
      <w:r w:rsidRPr="00EA4472">
        <w:rPr>
          <w:rFonts w:ascii="Simplified Arabic" w:hAnsi="Simplified Arabic" w:cs="AL-Hotham" w:hint="cs"/>
          <w:b/>
          <w:bCs/>
          <w:sz w:val="18"/>
          <w:szCs w:val="18"/>
          <w:rtl/>
        </w:rPr>
        <w:t>: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DecoType Thuluth"/>
          <w:b/>
          <w:bCs/>
          <w:sz w:val="18"/>
          <w:szCs w:val="18"/>
          <w:rtl/>
          <w:lang w:bidi="ar-EG"/>
        </w:rPr>
        <w:t>{</w:t>
      </w:r>
      <w:r w:rsidRPr="00EA4472">
        <w:rPr>
          <w:rFonts w:ascii="QCF_P310" w:hAnsi="QCF_P310" w:cs="QCF_P310"/>
          <w:b/>
          <w:bCs/>
          <w:sz w:val="18"/>
          <w:szCs w:val="18"/>
          <w:rtl/>
        </w:rPr>
        <w:t>ﭼ ﭽ ﭾ ﭿ ﮀ ﮁ ﮂ ﮃ ﮄ ﮅ</w:t>
      </w:r>
      <w:r w:rsidRPr="00EA4472">
        <w:rPr>
          <w:rFonts w:ascii="QCF_P310" w:hAnsi="QCF_P310" w:cs="DecoType Thuluth"/>
          <w:b/>
          <w:bCs/>
          <w:sz w:val="18"/>
          <w:szCs w:val="18"/>
          <w:rtl/>
        </w:rPr>
        <w:t>}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نصب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أيهم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، فقال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ثم لننزعن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من كل شيعة أيَّهم أشد على الرحمن عتيا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، وذلك على الإضافة، قال: وهي لغة جيدة نصبوها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كما جروها،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وأجاز بحرف أبي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وأذن لا يلبثوا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إعمال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أذن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إذا وقعت بين الواو والفعل. وقد يؤكد بها القاعدة مقدمًا عليها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شاهدًا شعري</w:t>
      </w:r>
      <w:r w:rsidRPr="00EA4472">
        <w:rPr>
          <w:rFonts w:ascii="Simplified Arabic" w:hAnsi="Simplified Arabic" w:cs="AL-Hotham" w:hint="cs"/>
          <w:b/>
          <w:bCs/>
          <w:sz w:val="18"/>
          <w:szCs w:val="18"/>
          <w:rtl/>
        </w:rPr>
        <w:t>ًّ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ا، أو شاهدين؛ حيث ذهب إلى أن الفعل العامل يجوز حذفه إذا دل عليه دليل،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وساق قول جرير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53"/>
        <w:gridCol w:w="517"/>
        <w:gridCol w:w="1745"/>
      </w:tblGrid>
      <w:tr w:rsidR="00EA4472" w:rsidRPr="00EA4472" w:rsidTr="00064B76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EA4472" w:rsidRPr="00EA4472" w:rsidRDefault="00EA4472" w:rsidP="00EA4472">
            <w:pPr>
              <w:spacing w:after="120"/>
              <w:jc w:val="both"/>
              <w:rPr>
                <w:rFonts w:cs="AGA Furat Regular"/>
                <w:b/>
                <w:bCs/>
                <w:sz w:val="18"/>
                <w:szCs w:val="18"/>
                <w:rtl/>
              </w:rPr>
            </w:pPr>
            <w:r w:rsidRPr="00EA4472">
              <w:rPr>
                <w:rFonts w:cs="AGA Furat Regular"/>
                <w:b/>
                <w:bCs/>
                <w:sz w:val="18"/>
                <w:szCs w:val="18"/>
                <w:rtl/>
              </w:rPr>
              <w:t>جئني بمثل بني بدر لقومهم</w:t>
            </w:r>
            <w:r w:rsidRPr="00EA4472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4472" w:rsidRPr="00EA4472" w:rsidRDefault="00EA4472" w:rsidP="00EA4472">
            <w:pPr>
              <w:spacing w:after="120"/>
              <w:jc w:val="center"/>
              <w:rPr>
                <w:rFonts w:cs="AL-Hotham" w:hint="cs"/>
                <w:b/>
                <w:bCs/>
                <w:sz w:val="18"/>
                <w:szCs w:val="18"/>
                <w:rtl/>
              </w:rPr>
            </w:pPr>
            <w:r w:rsidRPr="00EA4472">
              <w:rPr>
                <w:rFonts w:cs="AL-Hotham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EA4472" w:rsidRPr="00EA4472" w:rsidRDefault="00EA4472" w:rsidP="00EA4472">
            <w:pPr>
              <w:spacing w:after="120"/>
              <w:jc w:val="both"/>
              <w:rPr>
                <w:rFonts w:cs="AGA Furat Regular" w:hint="cs"/>
                <w:b/>
                <w:bCs/>
                <w:sz w:val="18"/>
                <w:szCs w:val="18"/>
                <w:rtl/>
              </w:rPr>
            </w:pPr>
            <w:r w:rsidRPr="00EA4472">
              <w:rPr>
                <w:rFonts w:cs="AGA Furat Regular"/>
                <w:b/>
                <w:bCs/>
                <w:sz w:val="18"/>
                <w:szCs w:val="18"/>
                <w:rtl/>
              </w:rPr>
              <w:t>أو مثل أسرة منظور بن سيَّار</w:t>
            </w:r>
            <w:r w:rsidRPr="00EA4472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</w:tr>
    </w:tbl>
    <w:p w:rsidR="00EA4472" w:rsidRPr="00EA4472" w:rsidRDefault="00EA4472" w:rsidP="00EA4472">
      <w:pPr>
        <w:pStyle w:val="NormalWeb"/>
        <w:bidi/>
        <w:spacing w:before="0" w:beforeAutospacing="0" w:after="120" w:afterAutospacing="0"/>
        <w:jc w:val="both"/>
        <w:rPr>
          <w:rFonts w:ascii="Simplified Arabic" w:hAnsi="Simplified Arabic" w:cs="AL-Hotham"/>
          <w:b/>
          <w:bCs/>
          <w:sz w:val="18"/>
          <w:szCs w:val="18"/>
          <w:rtl/>
        </w:rPr>
      </w:pP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وبيتًا آخر للعجاج، ثم قال: ومثل ذلك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وحورًا عينا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في قراءة أبي بن كعب، يريد قوله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تعالى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  <w:r w:rsidRPr="00EA4472">
        <w:rPr>
          <w:rFonts w:ascii="Simplified Arabic" w:hAnsi="Simplified Arabic" w:cs="DecoType Thuluth"/>
          <w:b/>
          <w:bCs/>
          <w:sz w:val="18"/>
          <w:szCs w:val="18"/>
          <w:rtl/>
          <w:lang w:bidi="ar-EG"/>
        </w:rPr>
        <w:t>{</w:t>
      </w:r>
      <w:r w:rsidRPr="00EA4472">
        <w:rPr>
          <w:rFonts w:ascii="QCF_P535" w:hAnsi="QCF_P535" w:cs="QCF_P535"/>
          <w:b/>
          <w:bCs/>
          <w:sz w:val="18"/>
          <w:szCs w:val="18"/>
          <w:rtl/>
        </w:rPr>
        <w:t xml:space="preserve">ﭑ ﭒ ﭓ ﭔ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* </w:t>
      </w:r>
      <w:r w:rsidRPr="00EA4472">
        <w:rPr>
          <w:rFonts w:ascii="QCF_P535" w:hAnsi="QCF_P535" w:cs="QCF_P535"/>
          <w:b/>
          <w:bCs/>
          <w:sz w:val="18"/>
          <w:szCs w:val="18"/>
          <w:rtl/>
        </w:rPr>
        <w:t xml:space="preserve">ﭖ ﭗ ﭘ ﭙ ﭚ </w:t>
      </w:r>
      <w:r w:rsidRPr="00EA4472">
        <w:rPr>
          <w:rFonts w:ascii="Simplified Arabic" w:hAnsi="Simplified Arabic" w:cs="AL-Hotham" w:hint="cs"/>
          <w:b/>
          <w:bCs/>
          <w:sz w:val="18"/>
          <w:szCs w:val="18"/>
          <w:rtl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* </w:t>
      </w:r>
      <w:r w:rsidRPr="00EA4472">
        <w:rPr>
          <w:rFonts w:ascii="QCF_P535" w:hAnsi="QCF_P535" w:cs="QCF_P535"/>
          <w:b/>
          <w:bCs/>
          <w:sz w:val="18"/>
          <w:szCs w:val="18"/>
          <w:rtl/>
        </w:rPr>
        <w:t>ﭜ ﭝ ﭞ ﭟ ﭠ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* </w:t>
      </w:r>
      <w:r w:rsidRPr="00EA4472">
        <w:rPr>
          <w:rFonts w:ascii="QCF_P535" w:hAnsi="QCF_P535" w:cs="QCF_P535"/>
          <w:b/>
          <w:bCs/>
          <w:sz w:val="18"/>
          <w:szCs w:val="18"/>
          <w:rtl/>
        </w:rPr>
        <w:t>ﭢ ﭣ ﭤ</w:t>
      </w:r>
      <w:r w:rsidRPr="00EA4472">
        <w:rPr>
          <w:rFonts w:ascii="QCF_P535" w:hAnsi="QCF_P535" w:cs="QCF_P535" w:hint="cs"/>
          <w:b/>
          <w:bCs/>
          <w:sz w:val="18"/>
          <w:szCs w:val="18"/>
          <w:rtl/>
        </w:rPr>
        <w:t xml:space="preserve"> </w:t>
      </w:r>
      <w:r w:rsidRPr="00EA4472">
        <w:rPr>
          <w:rFonts w:ascii="QCF_P535" w:hAnsi="QCF_P535" w:cs="QCF_P535"/>
          <w:b/>
          <w:bCs/>
          <w:sz w:val="18"/>
          <w:szCs w:val="18"/>
          <w:rtl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* </w:t>
      </w:r>
      <w:r w:rsidRPr="00EA4472">
        <w:rPr>
          <w:rFonts w:ascii="QCF_P535" w:hAnsi="QCF_P535" w:cs="QCF_P535"/>
          <w:b/>
          <w:bCs/>
          <w:sz w:val="18"/>
          <w:szCs w:val="18"/>
          <w:rtl/>
        </w:rPr>
        <w:t xml:space="preserve">ﭦ ﭧ ﭨ ﭩ </w:t>
      </w:r>
      <w:r w:rsidRPr="00EA4472">
        <w:rPr>
          <w:rFonts w:ascii="Simplified Arabic" w:hAnsi="Simplified Arabic" w:cs="AL-Hotham" w:hint="cs"/>
          <w:b/>
          <w:bCs/>
          <w:sz w:val="18"/>
          <w:szCs w:val="18"/>
          <w:rtl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* </w:t>
      </w:r>
      <w:r w:rsidRPr="00EA4472">
        <w:rPr>
          <w:rFonts w:ascii="QCF_P535" w:hAnsi="QCF_P535" w:cs="QCF_P535"/>
          <w:b/>
          <w:bCs/>
          <w:sz w:val="18"/>
          <w:szCs w:val="18"/>
          <w:rtl/>
        </w:rPr>
        <w:t>ﭫ ﭬ</w:t>
      </w:r>
      <w:r w:rsidRPr="00EA4472">
        <w:rPr>
          <w:rFonts w:ascii="QCF_P535" w:hAnsi="QCF_P535" w:cs="DecoType Thuluth"/>
          <w:b/>
          <w:bCs/>
          <w:sz w:val="18"/>
          <w:szCs w:val="18"/>
          <w:rtl/>
        </w:rPr>
        <w:t>}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[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الواقعة: 17</w:t>
      </w:r>
      <w:r w:rsidRPr="00EA4472">
        <w:rPr>
          <w:rFonts w:ascii="Simplified Arabic" w:hAnsi="Simplified Arabic" w:cs="AL-Hotham" w:hint="cs"/>
          <w:b/>
          <w:bCs/>
          <w:sz w:val="18"/>
          <w:szCs w:val="18"/>
          <w:rtl/>
        </w:rPr>
        <w:t xml:space="preserve"> </w:t>
      </w:r>
      <w:r w:rsidRPr="00EA4472">
        <w:rPr>
          <w:rFonts w:ascii="Simplified Arabic" w:hAnsi="Simplified Arabic" w:cs="Traditional Arabic" w:hint="cs"/>
          <w:b/>
          <w:bCs/>
          <w:sz w:val="18"/>
          <w:szCs w:val="18"/>
          <w:rtl/>
        </w:rPr>
        <w:t>-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22]، وأحيانًا يقيس عليه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كقياسه مع الخليل قولهم: لا سيما زيد على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إن الله لا يستحيي أن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يضرب مثلًا ما بعوضةٌ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برفع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بعوضة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، فيقول: لا سيما زيد، وقد يجعلها أصلًا يخرج عليها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القراءة المشهورة، كما فعل في قوله تعالى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  <w:r w:rsidRPr="00EA4472">
        <w:rPr>
          <w:rFonts w:ascii="Simplified Arabic" w:hAnsi="Simplified Arabic" w:cs="DecoType Thuluth"/>
          <w:b/>
          <w:bCs/>
          <w:sz w:val="18"/>
          <w:szCs w:val="18"/>
          <w:rtl/>
          <w:lang w:bidi="ar-EG"/>
        </w:rPr>
        <w:t>{</w:t>
      </w:r>
      <w:r w:rsidRPr="00EA4472">
        <w:rPr>
          <w:rFonts w:ascii="QCF_P519" w:hAnsi="QCF_P519" w:cs="QCF_P519"/>
          <w:b/>
          <w:bCs/>
          <w:sz w:val="18"/>
          <w:szCs w:val="18"/>
          <w:rtl/>
        </w:rPr>
        <w:t>ﮜ ﮝ ﮞ ﮟ</w:t>
      </w:r>
      <w:r w:rsidRPr="00EA4472">
        <w:rPr>
          <w:rFonts w:ascii="QCF_P519" w:hAnsi="QCF_P519" w:cs="DecoType Thuluth"/>
          <w:b/>
          <w:bCs/>
          <w:sz w:val="18"/>
          <w:szCs w:val="18"/>
          <w:rtl/>
        </w:rPr>
        <w:t>}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[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ق: 23] قال: فرفعه من وجهين: على شيء لدي عتيد، وعلى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وهذا بعلي شيخ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،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يريد أن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عتيد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مرفوع على النعت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DecoType Thuluth"/>
          <w:b/>
          <w:bCs/>
          <w:sz w:val="18"/>
          <w:szCs w:val="18"/>
          <w:rtl/>
          <w:lang w:bidi="ar-EG"/>
        </w:rPr>
        <w:t>{</w:t>
      </w:r>
      <w:r w:rsidRPr="00EA4472">
        <w:rPr>
          <w:rFonts w:ascii="QCF_P519" w:hAnsi="QCF_P519" w:cs="QCF_P519"/>
          <w:b/>
          <w:bCs/>
          <w:sz w:val="18"/>
          <w:szCs w:val="18"/>
          <w:rtl/>
        </w:rPr>
        <w:t>ﮜ ﮝ ﮞ ﮟ</w:t>
      </w:r>
      <w:r w:rsidRPr="00EA4472">
        <w:rPr>
          <w:rFonts w:ascii="QCF_P519" w:hAnsi="QCF_P519" w:cs="DecoType Thuluth"/>
          <w:b/>
          <w:bCs/>
          <w:sz w:val="18"/>
          <w:szCs w:val="18"/>
          <w:rtl/>
        </w:rPr>
        <w:t>}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مرفوع على النعت؛ مما أوعل أنه خبر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لمبتدأ محذوف أي: هو عتيد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EA4472" w:rsidRPr="00EA4472" w:rsidRDefault="00EA4472" w:rsidP="00EA4472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ويقوي بها شاهدًا شعري</w:t>
      </w:r>
      <w:r w:rsidRPr="00EA4472">
        <w:rPr>
          <w:rFonts w:ascii="Simplified Arabic" w:hAnsi="Simplified Arabic" w:cs="AL-Hotham" w:hint="cs"/>
          <w:b/>
          <w:bCs/>
          <w:sz w:val="18"/>
          <w:szCs w:val="18"/>
          <w:rtl/>
        </w:rPr>
        <w:t>ًّ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ا كحمله قول سعد بن مالك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71"/>
        <w:gridCol w:w="521"/>
        <w:gridCol w:w="1723"/>
      </w:tblGrid>
      <w:tr w:rsidR="00EA4472" w:rsidRPr="00EA4472" w:rsidTr="00064B76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EA4472" w:rsidRPr="00EA4472" w:rsidRDefault="00EA4472" w:rsidP="00EA4472">
            <w:pPr>
              <w:spacing w:after="120"/>
              <w:jc w:val="both"/>
              <w:rPr>
                <w:rFonts w:cs="AGA Furat Regular"/>
                <w:b/>
                <w:bCs/>
                <w:sz w:val="18"/>
                <w:szCs w:val="18"/>
                <w:rtl/>
              </w:rPr>
            </w:pPr>
            <w:r w:rsidRPr="00EA4472">
              <w:rPr>
                <w:rFonts w:cs="AGA Furat Regular"/>
                <w:b/>
                <w:bCs/>
                <w:sz w:val="18"/>
                <w:szCs w:val="18"/>
                <w:rtl/>
              </w:rPr>
              <w:lastRenderedPageBreak/>
              <w:t>من فر عن نيرانها</w:t>
            </w:r>
            <w:r w:rsidRPr="00EA4472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4472" w:rsidRPr="00EA4472" w:rsidRDefault="00EA4472" w:rsidP="00EA4472">
            <w:pPr>
              <w:spacing w:after="120"/>
              <w:jc w:val="center"/>
              <w:rPr>
                <w:rFonts w:cs="AL-Hotham" w:hint="cs"/>
                <w:b/>
                <w:bCs/>
                <w:sz w:val="18"/>
                <w:szCs w:val="18"/>
                <w:rtl/>
              </w:rPr>
            </w:pPr>
            <w:r w:rsidRPr="00EA4472">
              <w:rPr>
                <w:rFonts w:cs="AL-Hotham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EA4472" w:rsidRPr="00EA4472" w:rsidRDefault="00EA4472" w:rsidP="00EA4472">
            <w:pPr>
              <w:spacing w:after="120"/>
              <w:jc w:val="both"/>
              <w:rPr>
                <w:rFonts w:cs="AGA Furat Regular" w:hint="cs"/>
                <w:b/>
                <w:bCs/>
                <w:sz w:val="18"/>
                <w:szCs w:val="18"/>
                <w:rtl/>
              </w:rPr>
            </w:pPr>
            <w:r w:rsidRPr="00EA4472">
              <w:rPr>
                <w:rFonts w:cs="AGA Furat Regular"/>
                <w:b/>
                <w:bCs/>
                <w:sz w:val="18"/>
                <w:szCs w:val="18"/>
                <w:rtl/>
              </w:rPr>
              <w:t>فأنا ابن قيس لا براح</w:t>
            </w:r>
            <w:r w:rsidRPr="00EA4472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</w:tr>
    </w:tbl>
    <w:p w:rsidR="00EA4472" w:rsidRPr="00EA4472" w:rsidRDefault="00EA4472" w:rsidP="00EA4472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على قراءة بعضهم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ولات حينُ مناص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برفع الحين بأن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لا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محمولة على ليس أسوة بحمل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لات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عليها، قال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جعلها بمنزلة ليس في هذا الموضع في الرفع، أو يحملها على بعض أقوال العرب، من ذلك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حمله قراءة بعضهم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وألقوه في غيابة الجب يلتقطه بعض السيارة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على ما سمع عن العرب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من قولهم: ما جئت حاجتك؛ حيث التزموا التأنيث في هذا؛ لأنه بمنزلة المثل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EA4472" w:rsidRPr="00EA4472" w:rsidRDefault="00EA4472" w:rsidP="00EA4472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وقد علل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سيبويه القراءة بأن بعض اكتسبت التأنيث من السيارة؛ لأنها نفس السيارة. وقد ترد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القراءة النادرة عند سيبويه بعيدة عن اهتمامه، لا تثير قاعدة، أو نقاشًا فيوجهها، من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ذلك: توجيهه لقراءة بعضهم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يس * وَالْقُرْآن</w:t>
      </w:r>
      <w:r w:rsidRPr="00EA4472">
        <w:rPr>
          <w:rFonts w:ascii="Simplified Arabic" w:hAnsi="Simplified Arabic" w:cs="AL-Hotham" w:hint="cs"/>
          <w:b/>
          <w:bCs/>
          <w:sz w:val="18"/>
          <w:szCs w:val="18"/>
          <w:rtl/>
        </w:rPr>
        <w:t>َ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الْحَكِيم</w:t>
      </w:r>
      <w:r w:rsidRPr="00EA4472">
        <w:rPr>
          <w:rFonts w:ascii="Simplified Arabic" w:hAnsi="Simplified Arabic" w:cs="AL-Hotham" w:hint="cs"/>
          <w:b/>
          <w:bCs/>
          <w:sz w:val="18"/>
          <w:szCs w:val="18"/>
          <w:rtl/>
        </w:rPr>
        <w:t>َ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EA4472"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  <w:t>[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يس: 1، 2] بالنصب على حذف الفعل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EA4472" w:rsidRPr="00EA4472" w:rsidRDefault="00EA4472" w:rsidP="00EA4472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فسيبويه يعتد بالقراءات الشاذة، ويوسع لها في بناء الأصول النحوية، وفي طرائق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الاستدلال مثل سائر المصادر ما دامت توافق مقياسه، وقد تجلى ذلك أكثر ما تجلى في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اعتماده على كثير من الحروف التي يوقن بأنها مخالفة لرسم مصاحف المسلمين، على أن هذه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الحروف، وتلك القراءات النوادر لم ترق في عددها إلى ما كانت عليه مصادره الأخرى من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آيات، وقراءات مشهورة، وشعر، ولغات، بل كانت قليلة جدًّا.</w:t>
      </w:r>
    </w:p>
    <w:p w:rsidR="00EA4472" w:rsidRPr="00EA4472" w:rsidRDefault="00EA4472" w:rsidP="00EA4472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أما إذا اصطدمت القراءات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النادرة بمقياس سيبويه: فكان يلجأ فيها إلى مخارج متعددة؛ آمل</w:t>
      </w:r>
      <w:r w:rsidRPr="00EA4472">
        <w:rPr>
          <w:rFonts w:ascii="Simplified Arabic" w:hAnsi="Simplified Arabic" w:cs="AL-Hotham" w:hint="cs"/>
          <w:b/>
          <w:bCs/>
          <w:sz w:val="18"/>
          <w:szCs w:val="18"/>
          <w:rtl/>
        </w:rPr>
        <w:t>ً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ا عدم الطعن عليها ما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استطاع إلى ذلك سبيلًا، فقد يلوذ بأساتذته يسألهم فيها الرأي على نحو سؤاله الخليل عن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وجه قراءة بعضهم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ومن تقنت منكن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، فقد أجابه الخليل بأنها كصلة التي ممن عنيت مؤنثة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وقد يسكت تمامًا عن أي رأي، من ذلك: أنه سئل عن وجه تنوين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تقوًى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من قراءة عيسى بن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عمر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أفمن أسس بنيانه على تقوًى من الله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، فقال: لا أدري، ولا أعرف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EA4472" w:rsidRPr="00EA4472" w:rsidRDefault="00EA4472" w:rsidP="00EA4472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وقد يضطر لوصف بعضها بالقلة إذا لم تسعفه الشواهد، أو بالضعف إذا لم يرضها مقياسه،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ومن ذلك: وصفه لقراءة بعضهم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ولات حينُ مناص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بالقلة؛ لأن الكثير الشائع أن يأتي الحين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مع لات منصوبًا، ويكون اسمها مضمرًا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EA4472" w:rsidRPr="00EA4472" w:rsidRDefault="00EA4472" w:rsidP="00EA4472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ومن ذلك: وصفه لقراءة بعضهم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تمامًا على الذي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أحسنُ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برفع أحسن بالضعف؛ لأن صدر الصلة هو قد حذف، على أن هذين الوصفين لا يعنيان طعن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سيبويه على القراءتين،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كما رأى بعض الباحثين؛ وذلك لندرة هذين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الجانبين في كلام العرب، أو على الأقل فيما اجتمع لدى سيبويه منه، فسيبويه يقرن هاتين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القراءتين ببعض الأشعار،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فالأولى مثل قول سعد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71"/>
        <w:gridCol w:w="521"/>
        <w:gridCol w:w="1723"/>
      </w:tblGrid>
      <w:tr w:rsidR="00EA4472" w:rsidRPr="00EA4472" w:rsidTr="00064B76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EA4472" w:rsidRPr="00EA4472" w:rsidRDefault="00EA4472" w:rsidP="00EA4472">
            <w:pPr>
              <w:spacing w:after="120"/>
              <w:jc w:val="both"/>
              <w:rPr>
                <w:rFonts w:cs="AGA Furat Regular"/>
                <w:b/>
                <w:bCs/>
                <w:sz w:val="18"/>
                <w:szCs w:val="18"/>
                <w:rtl/>
              </w:rPr>
            </w:pPr>
            <w:r w:rsidRPr="00EA4472">
              <w:rPr>
                <w:rFonts w:cs="AGA Furat Regular"/>
                <w:b/>
                <w:bCs/>
                <w:sz w:val="18"/>
                <w:szCs w:val="18"/>
                <w:rtl/>
              </w:rPr>
              <w:t>من فر عن نيرانها</w:t>
            </w:r>
            <w:r w:rsidRPr="00EA4472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4472" w:rsidRPr="00EA4472" w:rsidRDefault="00EA4472" w:rsidP="00EA4472">
            <w:pPr>
              <w:spacing w:after="120"/>
              <w:jc w:val="center"/>
              <w:rPr>
                <w:rFonts w:cs="AL-Hotham" w:hint="cs"/>
                <w:b/>
                <w:bCs/>
                <w:sz w:val="18"/>
                <w:szCs w:val="18"/>
                <w:rtl/>
              </w:rPr>
            </w:pPr>
            <w:r w:rsidRPr="00EA4472">
              <w:rPr>
                <w:rFonts w:cs="AL-Hotham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EA4472" w:rsidRPr="00EA4472" w:rsidRDefault="00EA4472" w:rsidP="00EA4472">
            <w:pPr>
              <w:spacing w:after="120"/>
              <w:jc w:val="both"/>
              <w:rPr>
                <w:rFonts w:cs="AGA Furat Regular" w:hint="cs"/>
                <w:b/>
                <w:bCs/>
                <w:sz w:val="18"/>
                <w:szCs w:val="18"/>
                <w:rtl/>
              </w:rPr>
            </w:pPr>
            <w:r w:rsidRPr="00EA4472">
              <w:rPr>
                <w:rFonts w:cs="AGA Furat Regular"/>
                <w:b/>
                <w:bCs/>
                <w:sz w:val="18"/>
                <w:szCs w:val="18"/>
                <w:rtl/>
              </w:rPr>
              <w:t>فأنا ابن قيس لا براح</w:t>
            </w:r>
            <w:r w:rsidRPr="00EA4472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</w:tr>
    </w:tbl>
    <w:p w:rsidR="00EA4472" w:rsidRPr="00EA4472" w:rsidRDefault="00EA4472" w:rsidP="00EA4472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والثانية مثل قول الأنصاري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46"/>
        <w:gridCol w:w="522"/>
        <w:gridCol w:w="1747"/>
      </w:tblGrid>
      <w:tr w:rsidR="00EA4472" w:rsidRPr="00EA4472" w:rsidTr="00064B76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EA4472" w:rsidRPr="00EA4472" w:rsidRDefault="00EA4472" w:rsidP="00EA4472">
            <w:pPr>
              <w:spacing w:after="120"/>
              <w:jc w:val="both"/>
              <w:rPr>
                <w:rFonts w:cs="AGA Furat Regular"/>
                <w:b/>
                <w:bCs/>
                <w:sz w:val="18"/>
                <w:szCs w:val="18"/>
                <w:rtl/>
              </w:rPr>
            </w:pPr>
            <w:r w:rsidRPr="00EA4472">
              <w:rPr>
                <w:rFonts w:cs="AGA Furat Regular"/>
                <w:b/>
                <w:bCs/>
                <w:sz w:val="18"/>
                <w:szCs w:val="18"/>
                <w:rtl/>
              </w:rPr>
              <w:t>فكفى بنا فضلًا على من غيرنا</w:t>
            </w:r>
            <w:r w:rsidRPr="00EA4472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4472" w:rsidRPr="00EA4472" w:rsidRDefault="00EA4472" w:rsidP="00EA4472">
            <w:pPr>
              <w:spacing w:after="120"/>
              <w:jc w:val="center"/>
              <w:rPr>
                <w:rFonts w:cs="AL-Hotham" w:hint="cs"/>
                <w:b/>
                <w:bCs/>
                <w:sz w:val="18"/>
                <w:szCs w:val="18"/>
                <w:rtl/>
              </w:rPr>
            </w:pPr>
            <w:r w:rsidRPr="00EA4472">
              <w:rPr>
                <w:rFonts w:cs="AL-Hotham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EA4472" w:rsidRPr="00EA4472" w:rsidRDefault="00EA4472" w:rsidP="00EA4472">
            <w:pPr>
              <w:spacing w:after="120"/>
              <w:jc w:val="both"/>
              <w:rPr>
                <w:rFonts w:cs="AGA Furat Regular" w:hint="cs"/>
                <w:b/>
                <w:bCs/>
                <w:sz w:val="18"/>
                <w:szCs w:val="18"/>
                <w:rtl/>
              </w:rPr>
            </w:pPr>
            <w:r w:rsidRPr="00EA4472">
              <w:rPr>
                <w:rFonts w:cs="AGA Furat Regular"/>
                <w:b/>
                <w:bCs/>
                <w:sz w:val="18"/>
                <w:szCs w:val="18"/>
                <w:rtl/>
              </w:rPr>
              <w:t>حب النبي محمد إيانا</w:t>
            </w:r>
            <w:r w:rsidRPr="00EA4472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</w:tr>
    </w:tbl>
    <w:p w:rsidR="00EA4472" w:rsidRPr="00EA4472" w:rsidRDefault="00EA4472" w:rsidP="00EA4472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rtl/>
        </w:rPr>
      </w:pP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وقد رأيناه كيف قوى قول سعد بالقراءة على ما قلته، فكيف يجوز أن نحمل عباراته ما لا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تحتمل؟</w:t>
      </w:r>
    </w:p>
    <w:p w:rsidR="00EA4472" w:rsidRPr="00EA4472" w:rsidRDefault="00EA4472" w:rsidP="00EA4472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lastRenderedPageBreak/>
        <w:t>وفي الحقيقة،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إذا ما نظرنا إلى سيبويه فنقول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وسيبويه حيي فيما يعرض له من هذه القراءات، يحاول دائمًا التوجه بها حيث يحفظ لها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قدسيتها، ويأبى أن يطعن بنفسه عليها، فقد وجدناه في قراءة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هؤلاء بناتي هن أطهر لكم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يفعل ذلك حين حدد شروط ضمير الفصل، وهي: أن يكون بين المبتدأ والخبر، أو ما أصله مبتدأ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وخبر، وأيضًا أن يكون بين معرفتين. واعترضته هذه القراءة التي اختل فيها الشرط الثالث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فقال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فزعم يونس أن أبا عمرو رآه لحنًا،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فهو يرفضها، ولكنه يأبى أن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يصرح بذلك؛ مما يدل على احترام شديد لهذه الآثار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EA4472" w:rsidRPr="00EA4472" w:rsidRDefault="00EA4472" w:rsidP="00EA4472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وقد كان سيبويه يعالج أحيانًا وجوهًا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نحوية تحتملها بعض آيات القرآن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من دون أن تبلغه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قراءات، فكان يقول مثلًا: ولو قرئت كان حسنًا،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فلو كان جيدًا، وهي طريق سلكها جمهور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النحاة بعده، وكان أغلب هذه الوجوه قراءات شاذة، وقد آثرنا ضمها إلى هذه الجهود؛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لتوارثها بين النحاة؛ ولتداولها فيما بينهم على أنها قراءات شاذة في كثير من الأحيان؛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وليقيننا أيضًا بأن من اعتد بالقراءات الشاذة وبهذه الوجوه،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فإنه لا بد معتد بها لو أنها بلغته قراءات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EA4472" w:rsidRPr="00EA4472" w:rsidRDefault="00EA4472" w:rsidP="00EA4472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</w:pP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لقد كان سيبويه وفيًا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عمومًا لسنة القراءة، أمينًا على منهج أستاذه الخليل في تصحيح ما يروي من وجوهها، لا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يبخل عن وصف بعضها بالقوة أو الحسن ما دامت توافق الذائع المعروف من كلام العرب،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</w:rPr>
        <w:t>الذي يتوخى فيه ضبط لغة القرآن، وصونها من التحريف</w:t>
      </w:r>
      <w:r w:rsidRPr="00EA44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EA4472" w:rsidRPr="00EA4472" w:rsidRDefault="00EA4472" w:rsidP="00EA4472">
      <w:pPr>
        <w:jc w:val="center"/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</w:pPr>
    </w:p>
    <w:p w:rsidR="00EA4472" w:rsidRPr="00EA4472" w:rsidRDefault="00EA4472" w:rsidP="00EA4472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EA4472" w:rsidRPr="00EA4472" w:rsidRDefault="00EA4472" w:rsidP="00EA4472">
      <w:pPr>
        <w:jc w:val="lowKashida"/>
        <w:rPr>
          <w:rFonts w:asciiTheme="majorBidi" w:hAnsiTheme="majorBidi" w:cstheme="majorBidi" w:hint="cs"/>
          <w:b/>
          <w:bCs/>
          <w:sz w:val="18"/>
          <w:szCs w:val="18"/>
        </w:rPr>
      </w:pPr>
      <w:r w:rsidRPr="00EA4472">
        <w:rPr>
          <w:rFonts w:asciiTheme="majorBidi" w:hAnsiTheme="majorBidi" w:cstheme="majorBidi" w:hint="cs"/>
          <w:b/>
          <w:bCs/>
          <w:sz w:val="18"/>
          <w:szCs w:val="18"/>
          <w:rtl/>
        </w:rPr>
        <w:t>المراجع والمصادر</w:t>
      </w:r>
    </w:p>
    <w:p w:rsidR="00EA4472" w:rsidRPr="00EA4472" w:rsidRDefault="00EA4472" w:rsidP="00EA4472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A447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(المحتسب في تبيين وجوه شواذ القراءات والإيضاح عنها) </w:t>
      </w:r>
    </w:p>
    <w:p w:rsidR="00EA4472" w:rsidRPr="00EA4472" w:rsidRDefault="00EA4472" w:rsidP="00EA4472">
      <w:pPr>
        <w:ind w:left="46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A4472">
        <w:rPr>
          <w:rFonts w:asciiTheme="majorBidi" w:hAnsiTheme="majorBidi" w:cstheme="majorBidi"/>
          <w:b/>
          <w:bCs/>
          <w:sz w:val="18"/>
          <w:szCs w:val="18"/>
          <w:rtl/>
        </w:rPr>
        <w:t>أبو الفتح عثمان بن جني،  بتحقيق علي النجدي ناصف وزميليه، القاهرة، طبعة المجلس الأعلى للشئون الإسلامية، 1994م</w:t>
      </w:r>
    </w:p>
    <w:p w:rsidR="00EA4472" w:rsidRPr="00EA4472" w:rsidRDefault="00EA4472" w:rsidP="00EA4472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A447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(مرشد الأعزة في بيان موقف العلماء من القراءات الشاذة) </w:t>
      </w:r>
    </w:p>
    <w:p w:rsidR="00EA4472" w:rsidRPr="00EA4472" w:rsidRDefault="00EA4472" w:rsidP="00EA4472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A4472">
        <w:rPr>
          <w:rFonts w:asciiTheme="majorBidi" w:hAnsiTheme="majorBidi" w:cstheme="majorBidi"/>
          <w:b/>
          <w:bCs/>
          <w:sz w:val="18"/>
          <w:szCs w:val="18"/>
          <w:rtl/>
        </w:rPr>
        <w:t>عبد الكريم إبراهيم صالح،  دار المحدثين, 2006م</w:t>
      </w:r>
    </w:p>
    <w:p w:rsidR="00EA4472" w:rsidRPr="00EA4472" w:rsidRDefault="00EA4472" w:rsidP="00EA4472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A4472">
        <w:rPr>
          <w:rFonts w:asciiTheme="majorBidi" w:hAnsiTheme="majorBidi" w:cstheme="majorBidi"/>
          <w:b/>
          <w:bCs/>
          <w:sz w:val="18"/>
          <w:szCs w:val="18"/>
        </w:rPr>
        <w:t>)</w:t>
      </w:r>
      <w:r w:rsidRPr="00EA447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إعراب القراءات الشواذ) </w:t>
      </w:r>
    </w:p>
    <w:p w:rsidR="00EA4472" w:rsidRPr="00EA4472" w:rsidRDefault="00EA4472" w:rsidP="00EA4472">
      <w:pPr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A4472">
        <w:rPr>
          <w:rFonts w:asciiTheme="majorBidi" w:hAnsiTheme="majorBidi" w:cstheme="majorBidi"/>
          <w:b/>
          <w:bCs/>
          <w:sz w:val="18"/>
          <w:szCs w:val="18"/>
          <w:rtl/>
        </w:rPr>
        <w:t>أبو البقاء العكبري،  بتحقيق محمد السيد أحمد عزوز،  عالم الكتب, 1996م</w:t>
      </w:r>
    </w:p>
    <w:p w:rsidR="00EA4472" w:rsidRPr="00EA4472" w:rsidRDefault="00EA4472" w:rsidP="00EA4472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A447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(الاختلاف بين القراءات) </w:t>
      </w:r>
    </w:p>
    <w:p w:rsidR="00EA4472" w:rsidRPr="00EA4472" w:rsidRDefault="00EA4472" w:rsidP="00EA4472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A4472">
        <w:rPr>
          <w:rFonts w:asciiTheme="majorBidi" w:hAnsiTheme="majorBidi" w:cstheme="majorBidi"/>
          <w:b/>
          <w:bCs/>
          <w:sz w:val="18"/>
          <w:szCs w:val="18"/>
          <w:rtl/>
        </w:rPr>
        <w:t>أحمد البيلي،  بيروت، دار الجبل، 1988م</w:t>
      </w:r>
    </w:p>
    <w:p w:rsidR="00EA4472" w:rsidRPr="00EA4472" w:rsidRDefault="00EA4472" w:rsidP="00EA4472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A447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النحوي) </w:t>
      </w:r>
    </w:p>
    <w:p w:rsidR="00EA4472" w:rsidRPr="00EA4472" w:rsidRDefault="00EA4472" w:rsidP="00EA4472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A4472">
        <w:rPr>
          <w:rFonts w:asciiTheme="majorBidi" w:hAnsiTheme="majorBidi" w:cstheme="majorBidi"/>
          <w:b/>
          <w:bCs/>
          <w:sz w:val="18"/>
          <w:szCs w:val="18"/>
          <w:rtl/>
        </w:rPr>
        <w:t>محمود أحمد الصغير، بيروت، دار الفكر المعاصر, 1999م</w:t>
      </w:r>
    </w:p>
    <w:p w:rsidR="00EA4472" w:rsidRPr="00EA4472" w:rsidRDefault="00EA4472" w:rsidP="00EA4472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A447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(كتاب المصاحف) </w:t>
      </w:r>
    </w:p>
    <w:p w:rsidR="00EA4472" w:rsidRPr="00EA4472" w:rsidRDefault="00EA4472" w:rsidP="00EA4472">
      <w:pPr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A4472">
        <w:rPr>
          <w:rFonts w:asciiTheme="majorBidi" w:hAnsiTheme="majorBidi" w:cstheme="majorBidi"/>
          <w:b/>
          <w:bCs/>
          <w:sz w:val="18"/>
          <w:szCs w:val="18"/>
          <w:rtl/>
        </w:rPr>
        <w:t>أبو بكر عبد الله بن أبي داود سليمان بن الأشعث السجستاني، بيروت، دار الكتب العلمية, 1985م</w:t>
      </w:r>
    </w:p>
    <w:p w:rsidR="00EA4472" w:rsidRPr="00EA4472" w:rsidRDefault="00EA4472" w:rsidP="00EA4472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A447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(مختصر في شواذ القران من كتاب البديع أو القراءات الشاذة) </w:t>
      </w:r>
    </w:p>
    <w:p w:rsidR="00EA4472" w:rsidRPr="00EA4472" w:rsidRDefault="00EA4472" w:rsidP="00EA4472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A4472">
        <w:rPr>
          <w:rFonts w:asciiTheme="majorBidi" w:hAnsiTheme="majorBidi" w:cstheme="majorBidi"/>
          <w:b/>
          <w:bCs/>
          <w:sz w:val="18"/>
          <w:szCs w:val="18"/>
          <w:rtl/>
        </w:rPr>
        <w:t>الحسين بن احمد ابن خالويه، دار الهجرة،  1934م</w:t>
      </w:r>
    </w:p>
    <w:p w:rsidR="00EA4472" w:rsidRPr="00EA4472" w:rsidRDefault="00EA4472" w:rsidP="00EA4472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A447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القرآنية في بلاد الشام) </w:t>
      </w:r>
    </w:p>
    <w:p w:rsidR="00EA4472" w:rsidRPr="00EA4472" w:rsidRDefault="00EA4472" w:rsidP="00EA4472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A4472">
        <w:rPr>
          <w:rFonts w:asciiTheme="majorBidi" w:hAnsiTheme="majorBidi" w:cstheme="majorBidi"/>
          <w:b/>
          <w:bCs/>
          <w:sz w:val="18"/>
          <w:szCs w:val="18"/>
          <w:rtl/>
        </w:rPr>
        <w:t>حسين عطوان، بيروت، دار الجيل, 1982م</w:t>
      </w:r>
    </w:p>
    <w:p w:rsidR="00EA4472" w:rsidRPr="00EA4472" w:rsidRDefault="00EA4472" w:rsidP="00EA4472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A447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من لغة العرب) </w:t>
      </w:r>
    </w:p>
    <w:p w:rsidR="00EA4472" w:rsidRPr="00EA4472" w:rsidRDefault="00EA4472" w:rsidP="00EA4472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A4472">
        <w:rPr>
          <w:rFonts w:asciiTheme="majorBidi" w:hAnsiTheme="majorBidi" w:cstheme="majorBidi"/>
          <w:b/>
          <w:bCs/>
          <w:sz w:val="18"/>
          <w:szCs w:val="18"/>
          <w:rtl/>
        </w:rPr>
        <w:t>عبد الفتاح القاضي، الهيئة العامة لشئون المطابع الأميرية، 1975م</w:t>
      </w:r>
    </w:p>
    <w:p w:rsidR="00EA4472" w:rsidRPr="00EA4472" w:rsidRDefault="00EA4472" w:rsidP="00EA4472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A447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(اليزيدي القارئ النحوي دراسة نحوية قرآنية) </w:t>
      </w:r>
    </w:p>
    <w:p w:rsidR="00EA4472" w:rsidRPr="00EA4472" w:rsidRDefault="00EA4472" w:rsidP="00EA4472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A4472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 ،  دار الحسين الإسلامية, 1989م.</w:t>
      </w:r>
    </w:p>
    <w:p w:rsidR="00EA4472" w:rsidRPr="00EA4472" w:rsidRDefault="00EA4472" w:rsidP="00EA4472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A447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(شواهد القراءات بين ابن هشام وابن عقيل، دراسة نحوية تحليلية) </w:t>
      </w:r>
    </w:p>
    <w:p w:rsidR="00EA4472" w:rsidRPr="00EA4472" w:rsidRDefault="00EA4472" w:rsidP="00EA4472">
      <w:pPr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A4472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سحلول،  دار الطباعة المحمدية, 1993م</w:t>
      </w:r>
    </w:p>
    <w:p w:rsidR="00EA4472" w:rsidRPr="00EA4472" w:rsidRDefault="00EA4472" w:rsidP="00EA4472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A447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أبي السمال العدوي) </w:t>
      </w:r>
    </w:p>
    <w:p w:rsidR="00EA4472" w:rsidRPr="00EA4472" w:rsidRDefault="00EA4472" w:rsidP="00EA4472">
      <w:pPr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A4472">
        <w:rPr>
          <w:rFonts w:asciiTheme="majorBidi" w:hAnsiTheme="majorBidi" w:cstheme="majorBidi"/>
          <w:b/>
          <w:bCs/>
          <w:sz w:val="18"/>
          <w:szCs w:val="18"/>
          <w:rtl/>
        </w:rPr>
        <w:t>حمدي عبد الفتاح مصطفى خليل، الجريس، القاهرة, 2000م</w:t>
      </w:r>
    </w:p>
    <w:p w:rsidR="00EA4472" w:rsidRPr="00EA4472" w:rsidRDefault="00EA4472" w:rsidP="00EA4472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EA447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عبد الله بن مسعود مكانتها ومصادرها إحصاؤها) </w:t>
      </w:r>
    </w:p>
    <w:p w:rsidR="00EA4472" w:rsidRPr="00EA4472" w:rsidRDefault="00EA4472" w:rsidP="00EA4472">
      <w:pPr>
        <w:pStyle w:val="NormalWeb"/>
        <w:bidi/>
        <w:spacing w:before="0" w:beforeAutospacing="0" w:after="0" w:afterAutospacing="0"/>
        <w:ind w:left="284" w:firstLine="436"/>
        <w:jc w:val="both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EA4472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محمد أحمد خاطر، دار الاعتصام, 1990م</w:t>
      </w:r>
    </w:p>
    <w:p w:rsidR="00EA4472" w:rsidRPr="00EA4472" w:rsidRDefault="00EA4472" w:rsidP="00EA4472">
      <w:pPr>
        <w:rPr>
          <w:rFonts w:hint="cs"/>
          <w:b/>
          <w:bCs/>
          <w:sz w:val="18"/>
          <w:szCs w:val="18"/>
        </w:rPr>
      </w:pPr>
    </w:p>
    <w:p w:rsidR="00EA4472" w:rsidRPr="00EA4472" w:rsidRDefault="00EA4472" w:rsidP="00EA4472">
      <w:pPr>
        <w:rPr>
          <w:b/>
          <w:bCs/>
          <w:sz w:val="18"/>
          <w:szCs w:val="18"/>
        </w:rPr>
      </w:pPr>
    </w:p>
    <w:p w:rsidR="00EA4472" w:rsidRPr="00EA4472" w:rsidRDefault="00EA4472" w:rsidP="00EA4472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EA4472" w:rsidRPr="00EA4472" w:rsidRDefault="00EA4472" w:rsidP="00EA4472">
      <w:pPr>
        <w:rPr>
          <w:b/>
          <w:bCs/>
          <w:sz w:val="18"/>
          <w:szCs w:val="18"/>
        </w:rPr>
      </w:pPr>
    </w:p>
    <w:p w:rsidR="00EA4472" w:rsidRPr="00EA4472" w:rsidRDefault="00EA4472" w:rsidP="00EA4472">
      <w:pPr>
        <w:jc w:val="center"/>
        <w:rPr>
          <w:rFonts w:asciiTheme="majorBidi" w:eastAsia="Calibri" w:hAnsiTheme="majorBidi" w:cstheme="majorBidi"/>
          <w:b/>
          <w:bCs/>
          <w:sz w:val="18"/>
          <w:szCs w:val="18"/>
        </w:rPr>
      </w:pPr>
    </w:p>
    <w:p w:rsidR="004219C3" w:rsidRPr="00EA4472" w:rsidRDefault="004219C3" w:rsidP="00EA4472">
      <w:pPr>
        <w:rPr>
          <w:b/>
          <w:bCs/>
          <w:sz w:val="18"/>
          <w:szCs w:val="18"/>
        </w:rPr>
      </w:pPr>
    </w:p>
    <w:sectPr w:rsidR="004219C3" w:rsidRPr="00EA4472" w:rsidSect="00EA4472">
      <w:type w:val="continuous"/>
      <w:pgSz w:w="11906" w:h="16838"/>
      <w:pgMar w:top="1440" w:right="1800" w:bottom="1440" w:left="180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Hoth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QCF_P31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Furat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P53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QCF_P51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">
    <w:nsid w:val="54AF07C7"/>
    <w:multiLevelType w:val="hybridMultilevel"/>
    <w:tmpl w:val="3DB6F57A"/>
    <w:lvl w:ilvl="0" w:tplc="ED521654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A4472"/>
    <w:rsid w:val="001A2769"/>
    <w:rsid w:val="004168A0"/>
    <w:rsid w:val="004219C3"/>
    <w:rsid w:val="004A286F"/>
    <w:rsid w:val="00EA4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47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447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EA4472"/>
    <w:pPr>
      <w:bidi w:val="0"/>
      <w:spacing w:before="100" w:beforeAutospacing="1" w:after="100" w:afterAutospacing="1"/>
    </w:pPr>
    <w:rPr>
      <w:lang w:bidi="ar-SA"/>
    </w:rPr>
  </w:style>
  <w:style w:type="character" w:styleId="Hyperlink">
    <w:name w:val="Hyperlink"/>
    <w:basedOn w:val="DefaultParagraphFont"/>
    <w:uiPriority w:val="99"/>
    <w:unhideWhenUsed/>
    <w:rsid w:val="00EA44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hmedmsamir5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2C85B5D-05CE-4A4B-B61E-2C9ECA2D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1042</Words>
  <Characters>5942</Characters>
  <Application>Microsoft Office Word</Application>
  <DocSecurity>0</DocSecurity>
  <Lines>49</Lines>
  <Paragraphs>13</Paragraphs>
  <ScaleCrop>false</ScaleCrop>
  <Company>Fannan</Company>
  <LinksUpToDate>false</LinksUpToDate>
  <CharactersWithSpaces>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Fannan NewLook V5</cp:lastModifiedBy>
  <cp:revision>1</cp:revision>
  <dcterms:created xsi:type="dcterms:W3CDTF">2013-06-16T14:38:00Z</dcterms:created>
  <dcterms:modified xsi:type="dcterms:W3CDTF">2013-06-16T14:46:00Z</dcterms:modified>
</cp:coreProperties>
</file>