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3D" w:rsidRDefault="00CA473D" w:rsidP="00CA473D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CA473D">
        <w:rPr>
          <w:rFonts w:asciiTheme="majorBidi" w:eastAsia="Calibri" w:hAnsiTheme="majorBidi" w:cstheme="majorBidi"/>
          <w:b/>
          <w:bCs/>
          <w:sz w:val="48"/>
          <w:szCs w:val="48"/>
          <w:rtl/>
        </w:rPr>
        <w:t>الكسائي والفراء</w:t>
      </w:r>
    </w:p>
    <w:p w:rsidR="00CA473D" w:rsidRPr="00F7753E" w:rsidRDefault="00CA473D" w:rsidP="00CA473D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CA473D" w:rsidRPr="00426F7E" w:rsidRDefault="00CA473D" w:rsidP="00CA473D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CA473D" w:rsidRPr="00426F7E" w:rsidRDefault="00CA473D" w:rsidP="00CA473D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CA473D" w:rsidRPr="00426F7E" w:rsidRDefault="00CA473D" w:rsidP="00CA473D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CA473D" w:rsidRPr="00426F7E" w:rsidRDefault="00CA473D" w:rsidP="00CA473D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CA473D" w:rsidRDefault="00CA473D" w:rsidP="00CA473D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7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CA473D" w:rsidRPr="00426F7E" w:rsidRDefault="00CA473D" w:rsidP="00CA473D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CA473D" w:rsidRDefault="00CA473D" w:rsidP="00CA473D">
      <w:pPr>
        <w:spacing w:before="60"/>
        <w:jc w:val="center"/>
        <w:rPr>
          <w:rFonts w:asciiTheme="majorBidi" w:hAnsiTheme="majorBidi" w:cstheme="majorBidi"/>
          <w:sz w:val="18"/>
          <w:szCs w:val="18"/>
          <w:rtl/>
        </w:rPr>
        <w:sectPr w:rsidR="00CA473D" w:rsidSect="00CA473D">
          <w:headerReference w:type="even" r:id="rId8"/>
          <w:pgSz w:w="11906" w:h="16838" w:code="9"/>
          <w:pgMar w:top="851" w:right="849" w:bottom="1134" w:left="1701" w:header="720" w:footer="720" w:gutter="0"/>
          <w:cols w:space="720"/>
          <w:titlePg/>
          <w:bidi/>
          <w:rtlGutter/>
          <w:docGrid w:linePitch="360"/>
        </w:sectPr>
      </w:pPr>
    </w:p>
    <w:p w:rsidR="00CA473D" w:rsidRPr="00CA473D" w:rsidRDefault="00CA473D" w:rsidP="00CA473D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CA473D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الكسائي والفراء</w:t>
      </w:r>
    </w:p>
    <w:p w:rsidR="00CA473D" w:rsidRPr="00CA473D" w:rsidRDefault="00CA473D" w:rsidP="00CA473D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CA473D" w:rsidRPr="00CA473D" w:rsidRDefault="00CA473D" w:rsidP="00CA473D">
      <w:pPr>
        <w:spacing w:before="60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CA473D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CA473D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الكسائى ، حمزه، المتوفى</w:t>
      </w:r>
    </w:p>
    <w:p w:rsidR="00CA473D" w:rsidRPr="00CA473D" w:rsidRDefault="00CA473D" w:rsidP="00CA473D">
      <w:pPr>
        <w:numPr>
          <w:ilvl w:val="0"/>
          <w:numId w:val="2"/>
        </w:numPr>
        <w:spacing w:before="60"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CA473D" w:rsidRPr="00CA473D" w:rsidRDefault="00CA473D" w:rsidP="00CA473D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CA473D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الكسائي والفراء</w:t>
      </w:r>
    </w:p>
    <w:p w:rsidR="00CA473D" w:rsidRPr="00CA473D" w:rsidRDefault="00CA473D" w:rsidP="00CA473D">
      <w:pPr>
        <w:spacing w:before="6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A473D" w:rsidRPr="00CA473D" w:rsidRDefault="00CA473D" w:rsidP="00CA473D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CA473D" w:rsidRPr="00CA473D" w:rsidRDefault="00CA473D" w:rsidP="00CA473D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نتحدث عن الكسائي:</w:t>
      </w:r>
    </w:p>
    <w:p w:rsidR="00CA473D" w:rsidRPr="00CA473D" w:rsidRDefault="00CA473D" w:rsidP="00CA473D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أبو الحسين علي بن حمزة، المتوفى سنة تسع وثمانين بعد المائة. الكسائي هو واحد من أبرز علماء الكوفة، وقد اجتمع في شخصه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النحو، والقراءة، وكان لهذا الاجتماع أثر بارز في موقفه من القراءات، فقد كان يحتج لها،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ويؤيدها بكل ما ينتهي إليه من لغات العرب، وأشعارها، على أن المقياس النحوي كان له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أثر أيضًا، فقد قرأ الكسائي دهرًا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وزلزلوا حتى يقول الرسول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بالرفع، ثم عاد إلى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النصب. ولم يكن الكسائي يتشدد في موقفه من الرسم عندما كان يقبل على تخريج القراءات،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كما روي عنه أنه منع قراءة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كن فيكونَ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، ووقف من بعض القراءات موقف الحذر، وقال: لا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أعرف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6"/>
          <w:sz w:val="18"/>
          <w:szCs w:val="18"/>
          <w:lang w:bidi="ar-EG"/>
        </w:rPr>
      </w:pP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أما القراءات النادرة، والمخالفة للمصحف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: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فلم نجده يرد واحدة منها، بل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كان يقبلها جميعًا ويوجهها وفق مذهبه النحوي، ويبني من خلالها بعض القواعد الجديدة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.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فقد أجاز الكسائي بقراءة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إن الله وملائكتُه يصلون على النبي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برفع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"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الملائكة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>"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، العطف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على محل اسم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"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إن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قبل مجيء الخبر، وبقراءة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إن كلا فيها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توكيد للضمير، واحتضن قراءة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 "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أطهر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</w:rPr>
        <w:t>التي نبذها أهل البصرة، وخرجها على الحال</w:t>
      </w:r>
      <w:r w:rsidRPr="00CA473D">
        <w:rPr>
          <w:rFonts w:ascii="Simplified Arabic" w:hAnsi="Simplified Arabic" w:cs="AL-Hotham"/>
          <w:b/>
          <w:bCs/>
          <w:spacing w:val="-6"/>
          <w:sz w:val="18"/>
          <w:szCs w:val="18"/>
          <w:rtl/>
          <w:lang w:bidi="ar-EG"/>
        </w:rPr>
        <w:t>.</w:t>
      </w: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أما منهجه في توجيهه لهذه الشواذ: فيتسم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أو كما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تنقله الكتب</w:t>
      </w:r>
      <w:r w:rsidRPr="00CA473D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بالبساطة، وندرة الاحتجاج، ولعل هذا ينم عن حسن ظن الكسائي بهذه الروايات،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ولا سيما أنها تنقل صور ألفاظ القرآن بالسند المتصل، فهو يوجه قراءة مجاهد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>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كُتِبَ عَلَيْكُمُ الصِّيَامُ كَمَا كُتِبَ عَلَى الَّذِينَ مِنْ قَبْلِكُمْ لَعَلَّكُمْ تَتَّقُونَ 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>*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أَيَّامًا مَعْدُودَاتٍ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فَمَنْ كَانَ مِنْكُمْ مَرِيضًا أَوْ عَلَى سَفَرٍ فَعِدَّةٌ مِنْ أَيَّامٍ أُخَرَ وَعَلَى الَّذِينَ يُطِيقُونَهُ فِدْيَةٌ طَعَامُ مِسْكِينٍ فَمَنْ تَطَوَّعَ خَيْرًا فَهُوَ خَيْرٌ لَهُ وَأَنْ تَصُومُوا خَيْرٌ لَكُمْ إِنْ كُنْتُمْ تَعْلَمُونَ</w:t>
      </w:r>
      <w:r w:rsidRPr="00CA473D">
        <w:rPr>
          <w:rFonts w:ascii="Simplified Arabic" w:hAnsi="Simplified Arabic" w:cs="AL-Hotham" w:hint="cs"/>
          <w:b/>
          <w:bCs/>
          <w:spacing w:val="-4"/>
          <w:sz w:val="18"/>
          <w:szCs w:val="18"/>
          <w:rtl/>
        </w:rPr>
        <w:t xml:space="preserve"> *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ش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>َ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ه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>ْ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رَ رَمَضَانَ"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[البقرة: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183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CA473D">
        <w:rPr>
          <w:rFonts w:ascii="Simplified Arabic" w:hAnsi="Simplified Arabic" w:cs="Traditional Arabic" w:hint="cs"/>
          <w:b/>
          <w:bCs/>
          <w:sz w:val="18"/>
          <w:szCs w:val="18"/>
          <w:rtl/>
        </w:rPr>
        <w:t>-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185]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على معنى: كتب عليكم الصيام، وأن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تصوموا شهر رمضان، ويوجه قراءة زيد بن علي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أو عذابًا أليمًا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من قوله تعالى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CA473D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CA473D">
        <w:rPr>
          <w:rFonts w:ascii="QCF_P238" w:hAnsi="QCF_P238" w:cs="QCF_P238"/>
          <w:b/>
          <w:bCs/>
          <w:sz w:val="18"/>
          <w:szCs w:val="18"/>
          <w:rtl/>
        </w:rPr>
        <w:t>ﮏ ﮐ ﮑ ﮒ ﮓ ﮔ ﮕ ﮖ ﮗ ﮘ ﮙ ﮚ</w:t>
      </w:r>
      <w:r w:rsidRPr="00CA473D">
        <w:rPr>
          <w:rFonts w:ascii="QCF_P238" w:hAnsi="QCF_P238" w:cs="DecoType Thuluth"/>
          <w:b/>
          <w:bCs/>
          <w:sz w:val="18"/>
          <w:szCs w:val="18"/>
          <w:rtl/>
        </w:rPr>
        <w:t>}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يوسف: 25] على حذف الفعل، وأيضًا يوجه حرف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أبي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ستدعون إلى قوم أولي بأس شديد تقاتلونهم أو يسلمون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على معنى: حتى يسلموا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فالكسائي </w:t>
      </w:r>
      <w:r w:rsidRPr="00CA473D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رحمه الله تعالى</w:t>
      </w:r>
      <w:r w:rsidRPr="00CA473D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يسعى دائمًا لتصحيح هذه القراءات، وعدم رفضها، ولو أركبه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ذلك الصعب، فقد اضطر في قراءة أبي جعفر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ليجزى قومًا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أن يقدر لها محذوفًا، لا يقر به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النحاة ظاهرًا، وهو أن يجعل اسم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المصدر نائبًا عن الفاعل، والتقدير: يجزى الجزاء قومًا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وفي هذا دلالة واضحة على أن الكسائي لا يرغب في الطعن على القراءة، ولو كانت بعيدة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CA473D" w:rsidRPr="00CA473D" w:rsidRDefault="00CA473D" w:rsidP="00CA473D">
      <w:pPr>
        <w:pStyle w:val="NormalWeb"/>
        <w:bidi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نتحدث عن الفراء:</w:t>
      </w: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أبو زكريا يحيى بن زياد، المتوفى سنة سبع بعد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المائتين، يعد الفراء من أكثر النحاة شغفًا بلغة القرآن وقراءاته،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ومن أوسعهم علمًا بفنونه تظاهره في ذلك علوم العصر، وعقل خصب، وذاكرة قوية، فقد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صرح غير مرة أنه يؤثر لغة القرآن على الشعر، ومن أقواله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الكتاب أعرب وأقوى في الحجة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من الشعر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4"/>
          <w:sz w:val="18"/>
          <w:szCs w:val="18"/>
          <w:lang w:bidi="ar-EG"/>
        </w:rPr>
      </w:pP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lastRenderedPageBreak/>
        <w:t>والفراء من الملتزمين برسم القرآن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ولكن بعض عباراته كان يوحي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أحيانًا بخلاف ذلك، منها قوله في أحد الحروف: وهو جائز في العربية، وإن كان مخالفًا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للكتاب. فهذا لا يعني أنه كان مترخصًا في الرسم كما ذهب بعضهم، وإنما يعني أنه كان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نحويًّا أيضًا في إقباله على كتابه معاني القرآن، والدليل على ذلك: أنه كثيرًا ما يبرح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علاج الآية المقررة، أو القراءة المروية إلى بيان ما تحتمله من وجوه نحوية، فالفراء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يحترم الرسم، ولكنه نحوي يسترشد في بناء أصوله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بالموافق والمخالف من لغة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القرآن</w:t>
      </w:r>
      <w:r w:rsidRPr="00CA473D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.</w:t>
      </w: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والمادة القرآنية عند الفراء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وحدة منسجمة، يقوي بعضها بعض</w:t>
      </w:r>
      <w:r w:rsidRPr="00CA473D">
        <w:rPr>
          <w:rFonts w:ascii="Simplified Arabic" w:hAnsi="Simplified Arabic" w:cs="AL-Hotham" w:hint="cs"/>
          <w:b/>
          <w:bCs/>
          <w:sz w:val="18"/>
          <w:szCs w:val="18"/>
          <w:rtl/>
        </w:rPr>
        <w:t>ً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 وتكون متآزرة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ومقرونة بالشعر، أو بلغات العرب إلى بناء القاعدة وتوضيحها،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وهي تتألف من آيات القرآن الكريم، والقراءات المشهورة، والقراءات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غير المشهورة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أما القراءات المشهورة: فيرتضيها الفراء ما خلا بعضها، التي أعمل فيها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مقياسه فأباها، ولكن هذا لا يعكر موقفه العام الذي يتسم بالتسليم، والإجلال. وأما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القراءات غير المشهورة: فتتوزعها لديه ثلاثة أنواع: الحروف المخالفة، القراءات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الأحادية وغير المشهورة، والوجوه النحوية التي أجازها في الآيات، وكان معظمها قراءات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</w:rPr>
        <w:t>شاذة وفق المصطلحات المتأخرة</w:t>
      </w:r>
      <w:r w:rsidRPr="00CA473D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CA473D" w:rsidRPr="00CA473D" w:rsidRDefault="00CA473D" w:rsidP="00CA473D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CA473D" w:rsidRPr="00CA473D" w:rsidRDefault="00CA473D" w:rsidP="00CA473D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CA473D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CA473D" w:rsidRPr="00CA473D" w:rsidRDefault="00CA473D" w:rsidP="00CA473D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CA473D" w:rsidRPr="00CA473D" w:rsidRDefault="00CA473D" w:rsidP="00CA473D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CA473D" w:rsidRPr="00CA473D" w:rsidRDefault="00CA473D" w:rsidP="00CA473D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CA473D" w:rsidRPr="00CA473D" w:rsidRDefault="00CA473D" w:rsidP="00CA473D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CA473D" w:rsidRPr="00CA473D" w:rsidRDefault="00CA473D" w:rsidP="00CA473D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CA473D" w:rsidRPr="00CA473D" w:rsidRDefault="00CA473D" w:rsidP="00CA473D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CA473D" w:rsidRPr="00CA473D" w:rsidRDefault="00CA473D" w:rsidP="00CA473D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CA473D" w:rsidRPr="00CA473D" w:rsidRDefault="00CA473D" w:rsidP="00CA473D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CA473D" w:rsidRPr="00CA473D" w:rsidRDefault="00CA473D" w:rsidP="00CA473D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CA473D" w:rsidRPr="00CA473D" w:rsidRDefault="00CA473D" w:rsidP="00CA473D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CA473D" w:rsidRPr="00CA473D" w:rsidRDefault="00CA473D" w:rsidP="00CA473D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CA473D" w:rsidRPr="00CA473D" w:rsidRDefault="00CA473D" w:rsidP="00CA473D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CA473D" w:rsidRPr="00CA473D" w:rsidRDefault="00CA473D" w:rsidP="00CA473D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CA473D" w:rsidRPr="00CA473D" w:rsidRDefault="00CA473D" w:rsidP="00CA473D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CA473D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CA473D" w:rsidRPr="00CA473D" w:rsidRDefault="00CA473D" w:rsidP="00CA473D">
      <w:pPr>
        <w:rPr>
          <w:rFonts w:hint="cs"/>
          <w:b/>
          <w:bCs/>
          <w:sz w:val="18"/>
          <w:szCs w:val="18"/>
        </w:rPr>
      </w:pPr>
    </w:p>
    <w:p w:rsidR="00CA473D" w:rsidRPr="00CA473D" w:rsidRDefault="00CA473D" w:rsidP="00CA473D">
      <w:pPr>
        <w:rPr>
          <w:b/>
          <w:bCs/>
          <w:sz w:val="18"/>
          <w:szCs w:val="18"/>
        </w:rPr>
      </w:pPr>
    </w:p>
    <w:p w:rsidR="00CA473D" w:rsidRPr="00CA473D" w:rsidRDefault="00CA473D" w:rsidP="00CA473D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CA473D" w:rsidRPr="00CA473D" w:rsidRDefault="00CA473D" w:rsidP="00CA473D">
      <w:pPr>
        <w:rPr>
          <w:b/>
          <w:bCs/>
          <w:sz w:val="18"/>
          <w:szCs w:val="18"/>
        </w:rPr>
      </w:pPr>
    </w:p>
    <w:p w:rsidR="00CA473D" w:rsidRPr="00CA473D" w:rsidRDefault="00CA473D" w:rsidP="00CA473D">
      <w:pPr>
        <w:pStyle w:val="NormalWeb"/>
        <w:bidi/>
        <w:spacing w:before="0" w:beforeAutospacing="0" w:after="120" w:afterAutospacing="0"/>
        <w:jc w:val="center"/>
        <w:rPr>
          <w:rFonts w:ascii="Simplified Arabic" w:hAnsi="Simplified Arabic" w:cs="AL-Hotham"/>
          <w:b/>
          <w:bCs/>
          <w:sz w:val="18"/>
          <w:szCs w:val="18"/>
          <w:rtl/>
        </w:rPr>
        <w:sectPr w:rsidR="00CA473D" w:rsidRPr="00CA473D" w:rsidSect="00CA473D">
          <w:type w:val="continuous"/>
          <w:pgSz w:w="11906" w:h="16838" w:code="9"/>
          <w:pgMar w:top="851" w:right="849" w:bottom="1134" w:left="1701" w:header="720" w:footer="720" w:gutter="0"/>
          <w:cols w:num="2" w:space="720"/>
          <w:titlePg/>
          <w:bidi/>
          <w:rtlGutter/>
          <w:docGrid w:linePitch="360"/>
        </w:sectPr>
      </w:pPr>
    </w:p>
    <w:p w:rsidR="00CA473D" w:rsidRDefault="00CA473D" w:rsidP="00CA473D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/>
          <w:sz w:val="32"/>
          <w:szCs w:val="32"/>
          <w:rtl/>
        </w:rPr>
        <w:sectPr w:rsidR="00CA473D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CA473D" w:rsidRPr="004832EA" w:rsidRDefault="00CA473D" w:rsidP="00CA473D">
      <w:pPr>
        <w:pStyle w:val="NormalWeb"/>
        <w:bidi/>
        <w:spacing w:before="0" w:beforeAutospacing="0" w:after="120" w:afterAutospacing="0" w:line="500" w:lineRule="exact"/>
        <w:jc w:val="lowKashida"/>
        <w:rPr>
          <w:rFonts w:ascii="Simplified Arabic" w:hAnsi="Simplified Arabic" w:cs="AL-Hotham" w:hint="cs"/>
          <w:sz w:val="32"/>
          <w:szCs w:val="32"/>
        </w:rPr>
      </w:pPr>
    </w:p>
    <w:p w:rsidR="00CA473D" w:rsidRPr="00CA473D" w:rsidRDefault="00CA473D" w:rsidP="00CA473D">
      <w:pPr>
        <w:spacing w:before="60"/>
        <w:jc w:val="center"/>
        <w:rPr>
          <w:rFonts w:asciiTheme="majorBidi" w:eastAsia="Calibri" w:hAnsiTheme="majorBidi" w:cstheme="majorBidi"/>
          <w:b/>
          <w:bCs/>
          <w:sz w:val="48"/>
          <w:szCs w:val="48"/>
        </w:rPr>
      </w:pPr>
    </w:p>
    <w:p w:rsidR="004219C3" w:rsidRDefault="004219C3"/>
    <w:sectPr w:rsidR="004219C3" w:rsidSect="00CA473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B8C" w:rsidRDefault="009F5B8C" w:rsidP="00CA473D">
      <w:r>
        <w:separator/>
      </w:r>
    </w:p>
  </w:endnote>
  <w:endnote w:type="continuationSeparator" w:id="1">
    <w:p w:rsidR="009F5B8C" w:rsidRDefault="009F5B8C" w:rsidP="00CA4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Granad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2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B8C" w:rsidRDefault="009F5B8C" w:rsidP="00CA473D">
      <w:r>
        <w:separator/>
      </w:r>
    </w:p>
  </w:footnote>
  <w:footnote w:type="continuationSeparator" w:id="1">
    <w:p w:rsidR="009F5B8C" w:rsidRDefault="009F5B8C" w:rsidP="00CA4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6E9" w:rsidRDefault="009F5B8C">
    <w:pPr>
      <w:pStyle w:val="Header"/>
    </w:pPr>
    <w:r>
      <w:rPr>
        <w:noProof/>
        <w:lang w:bidi="ar-SA"/>
      </w:rPr>
      <w:pict>
        <v:group id="_x0000_s1032" style="position:absolute;left:0;text-align:left;margin-left:3.5pt;margin-top:75.5pt;width:333.5pt;height:619.25pt;z-index:251661312" coordorigin="2625,2234" coordsize="6670,12385">
          <v:line id="_x0000_s1033" style="position:absolute" from="2648,14404" to="9269,14404" strokecolor="#95b3d7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8512;top:14165;width:754;height:454" fillcolor="#4f81bd" stroked="f">
            <v:fill color2="fill darken(118)" rotate="t" angle="-135" method="linear sigma" focus="100%" type="gradient"/>
            <v:shadow on="t" type="perspective" opacity=".5" origin=",.5" offset="0,0" matrix=",56756f,,.5"/>
            <v:textbox style="mso-next-textbox:#_x0000_s1034" inset="0,,0">
              <w:txbxContent>
                <w:p w:rsidR="00C326E9" w:rsidRPr="00907733" w:rsidRDefault="009F5B8C" w:rsidP="005E730C">
                  <w:pPr>
                    <w:spacing w:line="280" w:lineRule="exact"/>
                    <w:jc w:val="center"/>
                    <w:rPr>
                      <w:rFonts w:cs="AL-Mateen" w:hint="cs"/>
                      <w:color w:val="FFFFFF"/>
                      <w:sz w:val="40"/>
                      <w:szCs w:val="40"/>
                      <w:rtl/>
                    </w:rPr>
                  </w:pP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begin"/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instrText xml:space="preserve"> PAGE </w:instrText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separate"/>
                  </w:r>
                  <w:r>
                    <w:rPr>
                      <w:rStyle w:val="PageNumber"/>
                      <w:rFonts w:cs="AL-Mateen"/>
                      <w:noProof/>
                      <w:color w:val="FFFFFF"/>
                      <w:sz w:val="40"/>
                      <w:szCs w:val="40"/>
                      <w:rtl/>
                    </w:rPr>
                    <w:t>142</w:t>
                  </w:r>
                  <w:r w:rsidRPr="00907733">
                    <w:rPr>
                      <w:rStyle w:val="PageNumber"/>
                      <w:rFonts w:cs="AL-Mateen"/>
                      <w:color w:val="FFFFFF"/>
                      <w:sz w:val="40"/>
                      <w:szCs w:val="40"/>
                    </w:rPr>
                    <w:fldChar w:fldCharType="end"/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5305;top:2501;width:3969;height:0;flip:x" o:connectortype="straight" strokecolor="#95b3d7" strokeweight="1pt">
            <v:shadow type="perspective" color="#243f60" opacity=".5" offset="1pt" offset2="-3pt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2625;top:2282;width:2551;height:397" fillcolor="#369" stroked="f">
            <v:shadow on="t" color="#b2b2b2" opacity="52429f" offset="1pt,0" offset2="-4pt,-4pt"/>
            <v:textpath style="font-family:&quot;Al-Mothnna&quot;;v-text-kern:t" trim="t" fitpath="t" string="القراءات الشاذة"/>
          </v:shape>
          <v:rect id="_x0000_s1037" style="position:absolute;left:7594;top:2234;width:1701;height:509" fillcolor="#4f81bd" strokecolor="#f2f2f2" strokeweight="1pt">
            <v:fill color2="#243f60" angle="-135" focusposition="1" focussize="" focus="100%" type="gradient"/>
            <v:shadow on="t" type="perspective" color="#b8cce4" opacity=".5" origin=",.5" offset="0,0" matrix=",56756f,,.5"/>
            <v:textbox style="mso-next-textbox:#_x0000_s1037">
              <w:txbxContent>
                <w:p w:rsidR="00C326E9" w:rsidRPr="00E31343" w:rsidRDefault="009F5B8C" w:rsidP="005E730C">
                  <w:pPr>
                    <w:ind w:left="428"/>
                    <w:rPr>
                      <w:rFonts w:cs="AGA Granada Regular"/>
                      <w:color w:val="FFFFFF"/>
                      <w:sz w:val="36"/>
                      <w:szCs w:val="36"/>
                      <w:rtl/>
                    </w:rPr>
                  </w:pPr>
                </w:p>
              </w:txbxContent>
            </v:textbox>
          </v:rect>
          <v:shape id="_x0000_s1038" type="#_x0000_t136" style="position:absolute;left:7736;top:2330;width:1417;height:317" stroked="f">
            <v:shadow on="t" color="black" opacity="52429f" offset="1pt,0" offset2="-4pt,-4pt"/>
            <v:textpath style="font-family:&quot;AGA Granada Regular&quot;;v-text-kern:t" trim="t" fitpath="t" string="الدرس الثامن"/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3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A473D"/>
    <w:rsid w:val="001A2769"/>
    <w:rsid w:val="004168A0"/>
    <w:rsid w:val="004219C3"/>
    <w:rsid w:val="004A286F"/>
    <w:rsid w:val="009F5B8C"/>
    <w:rsid w:val="00CA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7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A473D"/>
    <w:pPr>
      <w:bidi w:val="0"/>
      <w:spacing w:before="100" w:beforeAutospacing="1" w:after="100" w:afterAutospacing="1"/>
    </w:pPr>
    <w:rPr>
      <w:lang w:bidi="ar-SA"/>
    </w:rPr>
  </w:style>
  <w:style w:type="paragraph" w:styleId="Header">
    <w:name w:val="header"/>
    <w:basedOn w:val="Normal"/>
    <w:link w:val="HeaderChar"/>
    <w:rsid w:val="00CA47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473D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PageNumber">
    <w:name w:val="page number"/>
    <w:basedOn w:val="DefaultParagraphFont"/>
    <w:rsid w:val="00CA473D"/>
  </w:style>
  <w:style w:type="paragraph" w:styleId="Footer">
    <w:name w:val="footer"/>
    <w:basedOn w:val="Normal"/>
    <w:link w:val="FooterChar"/>
    <w:uiPriority w:val="99"/>
    <w:semiHidden/>
    <w:unhideWhenUsed/>
    <w:rsid w:val="00CA47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73D"/>
    <w:rPr>
      <w:rFonts w:ascii="Times New Roman" w:eastAsia="Times New Roman" w:hAnsi="Times New Roman" w:cs="Times New Roman"/>
      <w:sz w:val="24"/>
      <w:szCs w:val="24"/>
      <w:lang w:bidi="ar-EG"/>
    </w:rPr>
  </w:style>
  <w:style w:type="character" w:styleId="Hyperlink">
    <w:name w:val="Hyperlink"/>
    <w:basedOn w:val="DefaultParagraphFont"/>
    <w:uiPriority w:val="99"/>
    <w:unhideWhenUsed/>
    <w:rsid w:val="00CA4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hmedmsamir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4406</Characters>
  <Application>Microsoft Office Word</Application>
  <DocSecurity>0</DocSecurity>
  <Lines>36</Lines>
  <Paragraphs>10</Paragraphs>
  <ScaleCrop>false</ScaleCrop>
  <Company>Fannan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2013-06-16T14:38:00Z</dcterms:created>
  <dcterms:modified xsi:type="dcterms:W3CDTF">2013-06-16T14:44:00Z</dcterms:modified>
</cp:coreProperties>
</file>