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E26" w:rsidRDefault="00FD1E26" w:rsidP="00FD1E26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48"/>
          <w:szCs w:val="48"/>
          <w:rtl/>
        </w:rPr>
      </w:pPr>
      <w:r w:rsidRPr="00FD1E26">
        <w:rPr>
          <w:rFonts w:asciiTheme="majorBidi" w:eastAsia="Calibri" w:hAnsiTheme="majorBidi" w:cstheme="majorBidi"/>
          <w:b/>
          <w:bCs/>
          <w:sz w:val="48"/>
          <w:szCs w:val="48"/>
          <w:rtl/>
        </w:rPr>
        <w:t>أصول الاحتجاج للقراءات</w:t>
      </w:r>
    </w:p>
    <w:p w:rsidR="00FD1E26" w:rsidRDefault="00FD1E26" w:rsidP="00FD1E26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FD1E26" w:rsidRPr="00F7753E" w:rsidRDefault="00FD1E26" w:rsidP="00FD1E26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FD1E26" w:rsidRPr="00F7753E" w:rsidRDefault="00FD1E26" w:rsidP="00FD1E26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FD1E26" w:rsidRPr="00F7753E" w:rsidRDefault="00FD1E26" w:rsidP="00FD1E26">
      <w:pPr>
        <w:jc w:val="center"/>
        <w:rPr>
          <w:rFonts w:asciiTheme="majorBidi" w:eastAsia="Calibri" w:hAnsiTheme="majorBidi" w:cstheme="majorBidi"/>
          <w:sz w:val="18"/>
          <w:szCs w:val="18"/>
          <w:rtl/>
        </w:rPr>
      </w:pPr>
      <w:r w:rsidRPr="00F7753E">
        <w:rPr>
          <w:rFonts w:asciiTheme="majorBidi" w:hAnsiTheme="majorBidi" w:cstheme="majorBidi"/>
          <w:sz w:val="18"/>
          <w:szCs w:val="18"/>
          <w:rtl/>
        </w:rPr>
        <w:t xml:space="preserve">مبحث فى </w:t>
      </w:r>
      <w:r w:rsidRPr="00F7753E">
        <w:rPr>
          <w:rFonts w:asciiTheme="majorBidi" w:hAnsiTheme="majorBidi" w:cstheme="majorBidi" w:hint="cs"/>
          <w:sz w:val="18"/>
          <w:szCs w:val="18"/>
          <w:rtl/>
        </w:rPr>
        <w:t xml:space="preserve">علم </w:t>
      </w:r>
      <w:r w:rsidRPr="00F7753E">
        <w:rPr>
          <w:rFonts w:asciiTheme="majorBidi" w:eastAsia="Calibri" w:hAnsiTheme="majorBidi" w:cstheme="majorBidi" w:hint="cs"/>
          <w:sz w:val="18"/>
          <w:szCs w:val="18"/>
          <w:rtl/>
        </w:rPr>
        <w:t>القراءات الشاذه</w:t>
      </w:r>
    </w:p>
    <w:p w:rsidR="00FD1E26" w:rsidRPr="00426F7E" w:rsidRDefault="00FD1E26" w:rsidP="00FD1E26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إعداد / أحمد محمد سمير</w:t>
      </w:r>
    </w:p>
    <w:p w:rsidR="00FD1E26" w:rsidRPr="00426F7E" w:rsidRDefault="00FD1E26" w:rsidP="00FD1E26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قسم الدعوة وأصول الدين</w:t>
      </w:r>
    </w:p>
    <w:p w:rsidR="00FD1E26" w:rsidRPr="00426F7E" w:rsidRDefault="00FD1E26" w:rsidP="00FD1E26">
      <w:pPr>
        <w:jc w:val="center"/>
        <w:rPr>
          <w:rFonts w:asciiTheme="majorBidi" w:hAnsiTheme="majorBidi" w:cstheme="majorBidi"/>
          <w:sz w:val="18"/>
          <w:szCs w:val="18"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كلية العلوم الإسلامية – جامعة المدينة العالمية</w:t>
      </w:r>
    </w:p>
    <w:p w:rsidR="00FD1E26" w:rsidRPr="00426F7E" w:rsidRDefault="00FD1E26" w:rsidP="00FD1E26">
      <w:pPr>
        <w:jc w:val="center"/>
        <w:rPr>
          <w:rFonts w:asciiTheme="majorBidi" w:hAnsiTheme="majorBidi" w:cstheme="majorBidi"/>
          <w:sz w:val="18"/>
          <w:szCs w:val="18"/>
          <w:rtl/>
        </w:rPr>
      </w:pPr>
      <w:r w:rsidRPr="00426F7E">
        <w:rPr>
          <w:rFonts w:asciiTheme="majorBidi" w:hAnsiTheme="majorBidi" w:cstheme="majorBidi"/>
          <w:sz w:val="18"/>
          <w:szCs w:val="18"/>
          <w:rtl/>
        </w:rPr>
        <w:t>شاه علم - ماليزيا</w:t>
      </w:r>
    </w:p>
    <w:p w:rsidR="00FD1E26" w:rsidRDefault="00FD1E26" w:rsidP="00FD1E26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hyperlink r:id="rId7" w:history="1">
        <w:r w:rsidRPr="00DE0243">
          <w:rPr>
            <w:rStyle w:val="Hyperlink"/>
            <w:rFonts w:asciiTheme="majorBidi" w:hAnsiTheme="majorBidi" w:cstheme="majorBidi"/>
            <w:b/>
            <w:bCs/>
            <w:sz w:val="18"/>
            <w:szCs w:val="18"/>
          </w:rPr>
          <w:t>Ahmedmsamir54@gmail.com</w:t>
        </w:r>
      </w:hyperlink>
    </w:p>
    <w:p w:rsidR="00FD1E26" w:rsidRPr="00426F7E" w:rsidRDefault="00FD1E26" w:rsidP="00FD1E26">
      <w:pPr>
        <w:tabs>
          <w:tab w:val="left" w:pos="4050"/>
        </w:tabs>
        <w:jc w:val="center"/>
        <w:rPr>
          <w:rFonts w:asciiTheme="majorBidi" w:hAnsiTheme="majorBidi" w:cstheme="majorBidi"/>
          <w:b/>
          <w:bCs/>
          <w:sz w:val="18"/>
          <w:szCs w:val="18"/>
        </w:rPr>
      </w:pPr>
    </w:p>
    <w:p w:rsidR="00FD1E26" w:rsidRDefault="00FD1E26" w:rsidP="00FD1E26">
      <w:pPr>
        <w:spacing w:before="6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  <w:sectPr w:rsidR="00FD1E26" w:rsidSect="00FD1E26">
          <w:headerReference w:type="even" r:id="rId8"/>
          <w:pgSz w:w="11906" w:h="16838" w:code="9"/>
          <w:pgMar w:top="567" w:right="707" w:bottom="993" w:left="1560" w:header="720" w:footer="720" w:gutter="0"/>
          <w:cols w:space="720"/>
          <w:titlePg/>
          <w:bidi/>
          <w:rtlGutter/>
          <w:docGrid w:linePitch="360"/>
        </w:sectPr>
      </w:pPr>
    </w:p>
    <w:p w:rsidR="00FD1E26" w:rsidRPr="00FD1E26" w:rsidRDefault="00FD1E26" w:rsidP="00FD1E26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 xml:space="preserve">الخلاصة – هذا البحث يبحث فى </w:t>
      </w:r>
      <w:r w:rsidRPr="00FD1E26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أصول الاحتجاج للقراءات</w:t>
      </w:r>
    </w:p>
    <w:p w:rsidR="00FD1E26" w:rsidRPr="00FD1E26" w:rsidRDefault="00FD1E26" w:rsidP="00FD1E26">
      <w:pPr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</w:p>
    <w:p w:rsidR="00FD1E26" w:rsidRPr="00FD1E26" w:rsidRDefault="00FD1E26" w:rsidP="00FD1E26">
      <w:pPr>
        <w:spacing w:before="60"/>
        <w:rPr>
          <w:rFonts w:asciiTheme="majorBidi" w:eastAsia="Calibri" w:hAnsiTheme="majorBidi" w:cstheme="majorBidi"/>
          <w:b/>
          <w:bCs/>
          <w:sz w:val="18"/>
          <w:szCs w:val="18"/>
          <w:rtl/>
        </w:rPr>
      </w:pPr>
      <w:r w:rsidRPr="00FD1E26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الكلمات المفتاحية – ا</w:t>
      </w:r>
      <w:r w:rsidRPr="00FD1E26"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  <w:t>لاحتجاج، الجرجانى، الدعوى</w:t>
      </w:r>
    </w:p>
    <w:p w:rsidR="00FD1E26" w:rsidRPr="00FD1E26" w:rsidRDefault="00FD1E26" w:rsidP="00FD1E26">
      <w:pPr>
        <w:numPr>
          <w:ilvl w:val="0"/>
          <w:numId w:val="2"/>
        </w:numPr>
        <w:spacing w:before="60"/>
        <w:ind w:left="64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>.المقدمة</w:t>
      </w:r>
    </w:p>
    <w:p w:rsidR="00FD1E26" w:rsidRPr="00FD1E26" w:rsidRDefault="00FD1E26" w:rsidP="00FD1E26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 الحمد لله رب العالمين، والصلاة والسلام على أشرف المرسلين سيدنا محمد، وعلى آله وصحبه والتابعين ، سوف نقوم في هذا البحث بمعرفة </w:t>
      </w:r>
      <w:r w:rsidRPr="00FD1E26">
        <w:rPr>
          <w:rFonts w:asciiTheme="majorBidi" w:eastAsia="Calibri" w:hAnsiTheme="majorBidi" w:cstheme="majorBidi"/>
          <w:b/>
          <w:bCs/>
          <w:sz w:val="18"/>
          <w:szCs w:val="18"/>
          <w:rtl/>
        </w:rPr>
        <w:t>أصول الاحتجاج للقراءات</w:t>
      </w:r>
    </w:p>
    <w:p w:rsidR="00FD1E26" w:rsidRPr="00FD1E26" w:rsidRDefault="00FD1E26" w:rsidP="00FD1E26">
      <w:pPr>
        <w:spacing w:before="60"/>
        <w:rPr>
          <w:rFonts w:asciiTheme="majorBidi" w:hAnsiTheme="majorBidi" w:cstheme="majorBidi"/>
          <w:b/>
          <w:bCs/>
          <w:sz w:val="18"/>
          <w:szCs w:val="18"/>
          <w:rtl/>
        </w:rPr>
      </w:pPr>
    </w:p>
    <w:p w:rsidR="00FD1E26" w:rsidRPr="00FD1E26" w:rsidRDefault="00FD1E26" w:rsidP="00FD1E26">
      <w:pPr>
        <w:numPr>
          <w:ilvl w:val="0"/>
          <w:numId w:val="3"/>
        </w:numPr>
        <w:ind w:left="733" w:hanging="90"/>
        <w:jc w:val="center"/>
        <w:rPr>
          <w:rFonts w:asciiTheme="majorBidi" w:hAnsiTheme="majorBidi" w:cstheme="majorBidi"/>
          <w:b/>
          <w:bCs/>
          <w:sz w:val="18"/>
          <w:szCs w:val="18"/>
          <w:rtl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>.عنوان المقال</w:t>
      </w:r>
    </w:p>
    <w:p w:rsidR="00FD1E26" w:rsidRPr="00FD1E26" w:rsidRDefault="00FD1E26" w:rsidP="00FD1E26">
      <w:pPr>
        <w:spacing w:before="60"/>
        <w:jc w:val="center"/>
        <w:rPr>
          <w:rFonts w:asciiTheme="majorBidi" w:eastAsia="Calibri" w:hAnsiTheme="majorBidi" w:cstheme="majorBidi" w:hint="cs"/>
          <w:b/>
          <w:bCs/>
          <w:sz w:val="18"/>
          <w:szCs w:val="18"/>
          <w:rtl/>
        </w:rPr>
      </w:pP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الاحتجاج: تقديم الحجة، والحجة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كما يعرفها الجرجاني: ما دل به على صحة الدعوى،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وقريب من ذلك تعريف ناصح الدين الحنبلي؛ إذ عرفها بأنها رسل الدعوى، وهي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عند الرئيس ابن سينا: الشيء الموصل إلى التصديق المطلوب، وقد أمعن المحتجون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للقراءات في تقديم ما يدل على صحة القراءات، صادرين في نزعتهم تلك عن الدفاع عن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كتاب الله والحفاظ عليه،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حتى إنهم احتجوا لمذاهب القراء من حيث الأداء، </w:t>
      </w:r>
      <w:r w:rsidRPr="00FD1E2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فابن</w:t>
      </w:r>
      <w:r w:rsidRPr="00FD1E2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خالويه مثلًا في حجته يتعرض إلى التنوين بغتة وبغيرها وللمد ومقداره. قال ابن</w:t>
      </w:r>
      <w:r w:rsidRPr="00FD1E2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خالويه</w:t>
      </w:r>
      <w:r w:rsidRPr="00FD1E2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>: "</w:t>
      </w:r>
      <w:r w:rsidRPr="00FD1E2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قوله تعالى</w:t>
      </w:r>
      <w:r w:rsidRPr="00FD1E2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: </w:t>
      </w:r>
      <w:r w:rsidRPr="00FD1E26">
        <w:rPr>
          <w:rFonts w:ascii="Simplified Arabic" w:hAnsi="Simplified Arabic" w:cs="DecoType Thuluth"/>
          <w:b/>
          <w:bCs/>
          <w:spacing w:val="-4"/>
          <w:sz w:val="18"/>
          <w:szCs w:val="18"/>
          <w:rtl/>
          <w:lang w:bidi="ar-EG"/>
        </w:rPr>
        <w:t>{</w:t>
      </w:r>
      <w:r w:rsidRPr="00FD1E26">
        <w:rPr>
          <w:rFonts w:ascii="QCF_P007" w:hAnsi="QCF_P007" w:cs="QCF_P007"/>
          <w:b/>
          <w:bCs/>
          <w:spacing w:val="-4"/>
          <w:sz w:val="18"/>
          <w:szCs w:val="18"/>
          <w:rtl/>
        </w:rPr>
        <w:t>ﭰ ﭱ</w:t>
      </w:r>
      <w:r w:rsidRPr="00FD1E26">
        <w:rPr>
          <w:rFonts w:ascii="QCF_P007" w:hAnsi="QCF_P007" w:cs="DecoType Thuluth"/>
          <w:b/>
          <w:bCs/>
          <w:spacing w:val="-4"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pacing w:val="-4"/>
          <w:sz w:val="18"/>
          <w:szCs w:val="18"/>
          <w:rtl/>
          <w:lang w:bidi="ar-EG"/>
        </w:rPr>
        <w:t xml:space="preserve"> [</w:t>
      </w:r>
      <w:r w:rsidRPr="00FD1E26">
        <w:rPr>
          <w:rFonts w:ascii="Simplified Arabic" w:hAnsi="Simplified Arabic" w:cs="AL-Hotham"/>
          <w:b/>
          <w:bCs/>
          <w:spacing w:val="-4"/>
          <w:sz w:val="18"/>
          <w:szCs w:val="18"/>
          <w:rtl/>
        </w:rPr>
        <w:t>البقرة: 40]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كان ابن كثير يمد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007" w:hAnsi="QCF_P007" w:cs="QCF_P007"/>
          <w:b/>
          <w:bCs/>
          <w:sz w:val="18"/>
          <w:szCs w:val="18"/>
          <w:rtl/>
        </w:rPr>
        <w:t>ﭱ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أكثر من مد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007" w:hAnsi="QCF_P007" w:cs="QCF_P007"/>
          <w:b/>
          <w:bCs/>
          <w:sz w:val="18"/>
          <w:szCs w:val="18"/>
          <w:rtl/>
        </w:rPr>
        <w:t>ﭰ</w:t>
      </w:r>
      <w:r w:rsidRPr="00FD1E26">
        <w:rPr>
          <w:rFonts w:ascii="QCF_P007" w:hAnsi="QCF_P007" w:cs="DecoType Thuluth"/>
          <w:b/>
          <w:bCs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والحجة له في ذلك أن مد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007" w:hAnsi="QCF_P007" w:cs="QCF_P007"/>
          <w:b/>
          <w:bCs/>
          <w:sz w:val="18"/>
          <w:szCs w:val="18"/>
          <w:rtl/>
        </w:rPr>
        <w:t>ﭰ</w:t>
      </w:r>
      <w:r w:rsidRPr="00FD1E26">
        <w:rPr>
          <w:rFonts w:ascii="QCF_P007" w:hAnsi="QCF_P007" w:cs="DecoType Thuluth"/>
          <w:b/>
          <w:bCs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لأجل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استقبال الهمزة فهي مد حرف لحرف، والمد في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007" w:hAnsi="QCF_P007" w:cs="QCF_P007"/>
          <w:b/>
          <w:bCs/>
          <w:sz w:val="18"/>
          <w:szCs w:val="18"/>
          <w:rtl/>
        </w:rPr>
        <w:t>ﭱ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من أصل بنية الكلمة لا لأجل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غيرها، وسوى الباقون بين مديهما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</w:rPr>
        <w:t>؛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لأنهما في اللفظ سيان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وقد نظرت في أصول الاحتجاج،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وهداني الله </w:t>
      </w:r>
      <w:r w:rsidRPr="00FD1E26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تعالى</w:t>
      </w:r>
      <w:r w:rsidRPr="00FD1E26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إلى تقسيم هذا الأمر على النحو التالي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أولًا: الأصول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الكبرى؛ وتتمثل في الاحتجاج بالرواية والسند.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ثانيًا: الاحتجاج بالقياس.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ثالثًا: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الاحتجاج برسم المصحف العثماني.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ثانيًا: الأصول الصغرى؛ وتتمثل في الضوابط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الجامعة والقواعد العامة، كما بينها لنا الإمام السيوطي في (الأشباه والنظائر)، أو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ما أطلق عليه ابن جني في كتابه (التصريف الملوكي)، وذلك مثل قول ابن جني </w:t>
      </w:r>
      <w:r w:rsidRPr="00FD1E26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رحمه الله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ليس في كلام العرب اسم في آخره واو قبلها ضمة، وكل واوين التقيا أول الكلمة قلبت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الواو الأولى منهما همزة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ومثل هذه الأصول العامة الكليات التي أوردها ابن هشام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في آخر كتابه (المغني)، وما أورده السيوطي في (الأشباه والنظائر) مثل إذا اجتمع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النكرة والمعرفة غلبت المعرفة، وإذا اجتمع المذكر والمؤنث غلب المذكر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</w:pP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وقد ظهرت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الأصول العامة في وقت مبكر في كتب النحاة، ولعل ابن السراج أول من عني بذلك، حتى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أطلق الباحثون من علماء العربية عليه أنه مخترع علم الأصول؛ مستندين في ذلك إلى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ما جاء بكتابه (أصول النحو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</w:rPr>
        <w:t>)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من القوانين والكليات العامة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FD1E26" w:rsidRPr="00FD1E26" w:rsidRDefault="00FD1E26" w:rsidP="00FD1E26">
      <w:pPr>
        <w:pStyle w:val="NormalWeb"/>
        <w:bidi/>
        <w:spacing w:after="0" w:afterAutospacing="0"/>
        <w:jc w:val="lowKashida"/>
        <w:rPr>
          <w:rFonts w:ascii="Simplified Arabic" w:hAnsi="Simplified Arabic" w:cs="AL-Hotham" w:hint="cs"/>
          <w:b/>
          <w:bCs/>
          <w:sz w:val="18"/>
          <w:szCs w:val="18"/>
          <w:lang w:bidi="ar-EG"/>
        </w:rPr>
      </w:pP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بيان أصول الاحتجاج في القراءات: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وإليك بيان أصول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الاحتجاج في القراءات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القراءات قائمة على الرواية، وصحة الإسناد ركن من أركان قبول القراءة وصحتها،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والقراءات </w:t>
      </w:r>
      <w:r w:rsidRPr="00FD1E26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كما يعرفها الإمام ابن الجزري</w:t>
      </w:r>
      <w:r w:rsidRPr="00FD1E26">
        <w:rPr>
          <w:rFonts w:ascii="Simplified Arabic" w:hAnsi="Simplified Arabic" w:cs="Traditional Arabic"/>
          <w:b/>
          <w:bCs/>
          <w:sz w:val="18"/>
          <w:szCs w:val="18"/>
          <w:rtl/>
        </w:rPr>
        <w:t>-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علم بكيفية أداء كلمات القرآن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واختلافها بعزو الناقل. حدث ابن أخي الأصمعي عن عمه قال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قلت لأبي عمرو بن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العلاء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وتركنا عليه وعلى إسحاق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في موضع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449" w:hAnsi="QCF_P449" w:cs="QCF_P449"/>
          <w:b/>
          <w:bCs/>
          <w:sz w:val="18"/>
          <w:szCs w:val="18"/>
          <w:rtl/>
        </w:rPr>
        <w:t>ﭖ ﭗ ﭘ ﭙ</w:t>
      </w:r>
      <w:r w:rsidRPr="00FD1E26">
        <w:rPr>
          <w:rFonts w:ascii="QCF_P449" w:hAnsi="QCF_P449" w:cs="DecoType Thuluth"/>
          <w:b/>
          <w:bCs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الصافات: 78]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في موضع، أيعرف هذا؟ فقال: أما يعرف إلا أن يسمع من المشايخ الأولين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وهناك من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الأوجه الإعرابية ما يصح لغة، ولكنه لم يرو قراءة، ومثل هذا الضرب لا يقرأ به؛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لأن القراءة سنة، وأكثر ما تجد هذا اللون مما صح لغة ولم يرو في كتاب (معاني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القرآن) للفراء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</w:rPr>
        <w:t>؛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 حيث يقول مثل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ولو قُرئ كذا كان صواب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ومن أمثلة الاحتجاج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أيضًا بالإسناد والرواية قول أبي جعفر الطبري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حدثت عن الحسين قال: سمعت أحدهم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يقول: أخبرنا عبيد بن سلمان قال: سمعت الضحاك يقول في قوله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261" w:hAnsi="QCF_P261" w:cs="QCF_P261"/>
          <w:b/>
          <w:bCs/>
          <w:sz w:val="18"/>
          <w:szCs w:val="18"/>
          <w:rtl/>
        </w:rPr>
        <w:t xml:space="preserve">ﮍ ﮎ ﮏ ﮐ ﮑ </w:t>
      </w:r>
      <w:r w:rsidRPr="00FD1E26">
        <w:rPr>
          <w:rFonts w:ascii="QCF_P261" w:hAnsi="QCF_P261" w:cs="QCF_P261"/>
          <w:b/>
          <w:bCs/>
          <w:sz w:val="18"/>
          <w:szCs w:val="18"/>
          <w:rtl/>
        </w:rPr>
        <w:lastRenderedPageBreak/>
        <w:t>ﮒ</w:t>
      </w:r>
      <w:r w:rsidRPr="00FD1E26">
        <w:rPr>
          <w:rFonts w:ascii="QCF_P261" w:hAnsi="QCF_P261" w:cs="DecoType Thuluth"/>
          <w:b/>
          <w:bCs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إبراهيم: 46]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في حرف ابن مسعود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261" w:hAnsi="QCF_P261" w:cs="QCF_P261"/>
          <w:b/>
          <w:bCs/>
          <w:sz w:val="18"/>
          <w:szCs w:val="18"/>
          <w:rtl/>
        </w:rPr>
        <w:t>ﮍ ﮎ ﮏ ﮐ ﮑ ﮒ</w:t>
      </w:r>
      <w:r w:rsidRPr="00FD1E26">
        <w:rPr>
          <w:rFonts w:ascii="QCF_P261" w:hAnsi="QCF_P261" w:cs="DecoType Thuluth"/>
          <w:b/>
          <w:bCs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ومثل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311" w:hAnsi="QCF_P311" w:cs="QCF_P311"/>
          <w:b/>
          <w:bCs/>
          <w:sz w:val="18"/>
          <w:szCs w:val="18"/>
          <w:rtl/>
        </w:rPr>
        <w:t>ﯙ ﯚ ﯛ ﯜ ﯝ ﯞ ﯟ ﯠ ﯡ</w:t>
      </w:r>
      <w:r w:rsidRPr="00FD1E26">
        <w:rPr>
          <w:rFonts w:ascii="QCF_P311" w:hAnsi="QCF_P311" w:cs="DecoType Thuluth"/>
          <w:b/>
          <w:bCs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مريم: 90] واختلف في قوله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261" w:hAnsi="QCF_P261" w:cs="QCF_P261"/>
          <w:b/>
          <w:bCs/>
          <w:sz w:val="18"/>
          <w:szCs w:val="18"/>
          <w:rtl/>
        </w:rPr>
        <w:t>ﮍ ﮎ ﮏ ﮐ ﮑ ﮒ</w:t>
      </w:r>
      <w:r w:rsidRPr="00FD1E26">
        <w:rPr>
          <w:rFonts w:ascii="QCF_P261" w:hAnsi="QCF_P261" w:cs="DecoType Thuluth"/>
          <w:b/>
          <w:bCs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pacing w:val="2"/>
          <w:sz w:val="18"/>
          <w:szCs w:val="18"/>
          <w:lang w:bidi="ar-EG"/>
        </w:rPr>
      </w:pP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كذلك الاحتجاج بالقياس،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والقياس أصل من أصول الاحتجاج للقراءات،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ولا تحسب أن الأمر بذلك مقلوب من حيث كانت القراءة يحتج بها على القياس ولا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يحتج لها به، ولكني أود أن نرجع إلى الأسباب التي دعت المشتغلين بالاحتجاج إلى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الاشتغال به؛ من أمثال أبي علي الفارسي في (الحجة)، وتلميذه ابن جني في (المحتسب)؛ حيث وقفوا في مواجهة الملاحدة والطاعنين؛ ليردوا كيدهم إلى نحورهم، وليجبهوا إلحادهم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بأسلحتهم، فاصطنعوا البراهين التي يصطنعها الملحدون، واتخذوا وسائلهم التي يسلكون،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 xml:space="preserve">فآثرا </w:t>
      </w:r>
      <w:r w:rsidRPr="00FD1E26">
        <w:rPr>
          <w:rFonts w:ascii="Simplified Arabic" w:hAnsi="Simplified Arabic" w:cs="Traditional Arabic"/>
          <w:b/>
          <w:bCs/>
          <w:spacing w:val="2"/>
          <w:sz w:val="18"/>
          <w:szCs w:val="18"/>
          <w:rtl/>
        </w:rPr>
        <w:t>-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أبو علي وتلميذه</w:t>
      </w:r>
      <w:r w:rsidRPr="00FD1E26">
        <w:rPr>
          <w:rFonts w:ascii="Simplified Arabic" w:hAnsi="Simplified Arabic" w:cs="Traditional Arabic"/>
          <w:b/>
          <w:bCs/>
          <w:spacing w:val="2"/>
          <w:sz w:val="18"/>
          <w:szCs w:val="18"/>
          <w:rtl/>
        </w:rPr>
        <w:t>-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 xml:space="preserve"> القياس والنظر؛ احتجاجًا لما هو ثابت بالنقل والأثر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احتساب</w:t>
      </w:r>
      <w:r w:rsidRPr="00FD1E26">
        <w:rPr>
          <w:rFonts w:ascii="Simplified Arabic" w:hAnsi="Simplified Arabic" w:cs="AL-Hotham" w:hint="cs"/>
          <w:b/>
          <w:bCs/>
          <w:spacing w:val="2"/>
          <w:sz w:val="18"/>
          <w:szCs w:val="18"/>
          <w:rtl/>
        </w:rPr>
        <w:t>ً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ا لوجه الله، ليواجها بيئة جدلية يقوم الدين فيها على الاقتناع واليقين، لا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</w:rPr>
        <w:t>على الاتباع والتلقين</w:t>
      </w:r>
      <w:r w:rsidRPr="00FD1E26">
        <w:rPr>
          <w:rFonts w:ascii="Simplified Arabic" w:hAnsi="Simplified Arabic" w:cs="AL-Hotham"/>
          <w:b/>
          <w:bCs/>
          <w:spacing w:val="2"/>
          <w:sz w:val="18"/>
          <w:szCs w:val="18"/>
          <w:rtl/>
          <w:lang w:bidi="ar-EG"/>
        </w:rPr>
        <w:t>.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وإليكم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مثالًا واحدًا يختصر نزعة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المحتجين بالقياس، واتخاذه أصلًا من أصول الاحتجاج. قال أبو علي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اختلفوا في قوله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006" w:hAnsi="QCF_P006" w:cs="QCF_P006"/>
          <w:b/>
          <w:bCs/>
          <w:sz w:val="18"/>
          <w:szCs w:val="18"/>
          <w:rtl/>
        </w:rPr>
        <w:t>ﯨ ﯩ</w:t>
      </w:r>
      <w:r w:rsidRPr="00FD1E26">
        <w:rPr>
          <w:rFonts w:ascii="QCF_P006" w:hAnsi="QCF_P006" w:cs="DecoType Thuluth"/>
          <w:b/>
          <w:bCs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البقرة: 36]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فقرأ حمزة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فأزالهما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بألف خفيفة وقرأ الباقون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006" w:hAnsi="QCF_P006" w:cs="QCF_P006"/>
          <w:b/>
          <w:bCs/>
          <w:sz w:val="18"/>
          <w:szCs w:val="18"/>
          <w:rtl/>
        </w:rPr>
        <w:t>ﯨ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مشددة بغير ألف. قال أبو بكر أحمد: وروى أبو عبيد أن حمزة قرأ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</w:rPr>
        <w:t>: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فأزالهما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بالإمالة،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وهذا غلط. وحجة حمزة في قراءته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فأزالهما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الشَّيْطَانُ عَنْهَا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 xml:space="preserve">أن قوله </w:t>
      </w:r>
      <w:r w:rsidRPr="00FD1E26">
        <w:rPr>
          <w:rFonts w:ascii="AGA Arabesque" w:hAnsi="AGA Arabesque" w:cs="Simplified Arabic"/>
          <w:b/>
          <w:bCs/>
          <w:position w:val="-4"/>
          <w:sz w:val="18"/>
          <w:szCs w:val="18"/>
        </w:rPr>
        <w:t>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: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006" w:hAnsi="QCF_P006" w:cs="QCF_P006"/>
          <w:b/>
          <w:bCs/>
          <w:sz w:val="18"/>
          <w:szCs w:val="18"/>
          <w:rtl/>
        </w:rPr>
        <w:t>ﯖ ﯗ ﯘ ﯙ ﯚ ﯛ ﯜ ﯝ</w:t>
      </w:r>
      <w:r w:rsidRPr="00FD1E26">
        <w:rPr>
          <w:rFonts w:ascii="QCF_P006" w:hAnsi="QCF_P006" w:cs="DecoType Thuluth"/>
          <w:b/>
          <w:bCs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البقرة: 35]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تأويله: اثبتا فثبتا فأزالهما الشيطان، فقابل الثبات بالزوال الذي هو خلافه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".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 w:hint="cs"/>
          <w:b/>
          <w:bCs/>
          <w:sz w:val="18"/>
          <w:szCs w:val="18"/>
          <w:rtl/>
        </w:rPr>
      </w:pP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أيضًا قلنا الأصول الصغرى القواعد العامة أو العقود، وقد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صنفت هذه الأصول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المشاكلة والتماس الخفة، فأيضًا مشاكلة حركية كالاحتجاج لقراءة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009" w:hAnsi="QCF_P009" w:cs="QCF_P009"/>
          <w:b/>
          <w:bCs/>
          <w:sz w:val="18"/>
          <w:szCs w:val="18"/>
          <w:rtl/>
        </w:rPr>
        <w:t>ﯤ ﯥ</w:t>
      </w:r>
      <w:r w:rsidRPr="00FD1E26">
        <w:rPr>
          <w:rFonts w:ascii="QCF_P009" w:hAnsi="QCF_P009" w:cs="DecoType Thuluth"/>
          <w:b/>
          <w:bCs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البقرة: 61]،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025" w:hAnsi="QCF_P025" w:cs="QCF_P025"/>
          <w:b/>
          <w:bCs/>
          <w:sz w:val="18"/>
          <w:szCs w:val="18"/>
          <w:rtl/>
        </w:rPr>
        <w:t>ﮩ ﮪ</w:t>
      </w:r>
      <w:r w:rsidRPr="00FD1E26">
        <w:rPr>
          <w:rFonts w:ascii="QCF_P025" w:hAnsi="QCF_P025" w:cs="DecoType Thuluth"/>
          <w:b/>
          <w:bCs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البقرة: 166] فقرأ أبو عمرو بكسر الهاء والميم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عليهِمِ الذلة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،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"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بهمِ الأسباب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"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، وحجة أبي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عمرو أنه لما غير الهاء عن أصلها كراهية الثقل؛ فعل ذلك في الميم حين أراد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تحريكها للساكن بعدها، فأتبع الميم كسر ما قبلها كراهية أن يخرج من كسر إلى ضم،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فأتبع الكسر الكسر؛ ليؤلف بين الحركات عند حاجته إلى تحريك الميم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.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pacing w:val="4"/>
          <w:sz w:val="18"/>
          <w:szCs w:val="18"/>
          <w:lang w:bidi="ar-EG"/>
        </w:rPr>
      </w:pP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المشاكلة بين الضمائر: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وذلك قراءة من قرأ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DecoType Thuluth"/>
          <w:b/>
          <w:bCs/>
          <w:spacing w:val="4"/>
          <w:sz w:val="18"/>
          <w:szCs w:val="18"/>
          <w:rtl/>
          <w:lang w:bidi="ar-EG"/>
        </w:rPr>
        <w:t>{</w:t>
      </w:r>
      <w:r w:rsidRPr="00FD1E26">
        <w:rPr>
          <w:rFonts w:ascii="QCF_P009" w:hAnsi="QCF_P009" w:cs="QCF_P009"/>
          <w:b/>
          <w:bCs/>
          <w:spacing w:val="4"/>
          <w:sz w:val="18"/>
          <w:szCs w:val="18"/>
          <w:rtl/>
        </w:rPr>
        <w:t>ﭠ ﭡ ﭢ</w:t>
      </w:r>
      <w:r w:rsidRPr="00FD1E26">
        <w:rPr>
          <w:rFonts w:ascii="QCF_P009" w:hAnsi="QCF_P009" w:cs="DecoType Thuluth"/>
          <w:b/>
          <w:bCs/>
          <w:spacing w:val="4"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[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البقرة: 58] بالنون وحجتهم في ذلك</w:t>
      </w:r>
      <w:r w:rsidRPr="00FD1E26">
        <w:rPr>
          <w:rFonts w:ascii="Simplified Arabic" w:hAnsi="Simplified Arabic" w:cs="AL-Hotham" w:hint="cs"/>
          <w:b/>
          <w:bCs/>
          <w:spacing w:val="4"/>
          <w:sz w:val="18"/>
          <w:szCs w:val="18"/>
          <w:rtl/>
          <w:lang w:bidi="ar-EG"/>
        </w:rPr>
        <w:t>: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DecoType Thuluth"/>
          <w:b/>
          <w:bCs/>
          <w:spacing w:val="4"/>
          <w:sz w:val="18"/>
          <w:szCs w:val="18"/>
          <w:rtl/>
          <w:lang w:bidi="ar-EG"/>
        </w:rPr>
        <w:t>{</w:t>
      </w:r>
      <w:r w:rsidRPr="00FD1E26">
        <w:rPr>
          <w:rFonts w:ascii="QCF_P009" w:hAnsi="QCF_P009" w:cs="QCF_P009"/>
          <w:b/>
          <w:bCs/>
          <w:spacing w:val="4"/>
          <w:sz w:val="18"/>
          <w:szCs w:val="18"/>
          <w:rtl/>
        </w:rPr>
        <w:t>ﭠ</w:t>
      </w:r>
      <w:r w:rsidRPr="00FD1E26">
        <w:rPr>
          <w:rFonts w:ascii="QCF_P009" w:hAnsi="QCF_P009" w:cs="DecoType Thuluth"/>
          <w:b/>
          <w:bCs/>
          <w:spacing w:val="4"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بين خبرين من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إخبار الله عن نفسه أخرجا بالنون، ذلك قوله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: </w:t>
      </w:r>
      <w:r w:rsidRPr="00FD1E26">
        <w:rPr>
          <w:rFonts w:ascii="Simplified Arabic" w:hAnsi="Simplified Arabic" w:cs="DecoType Thuluth"/>
          <w:b/>
          <w:bCs/>
          <w:spacing w:val="4"/>
          <w:sz w:val="18"/>
          <w:szCs w:val="18"/>
          <w:rtl/>
          <w:lang w:bidi="ar-EG"/>
        </w:rPr>
        <w:t>{</w:t>
      </w:r>
      <w:r w:rsidRPr="00FD1E26">
        <w:rPr>
          <w:rFonts w:ascii="QCF_P009" w:hAnsi="QCF_P009" w:cs="QCF_P009"/>
          <w:b/>
          <w:bCs/>
          <w:spacing w:val="4"/>
          <w:sz w:val="18"/>
          <w:szCs w:val="18"/>
          <w:rtl/>
        </w:rPr>
        <w:t>ﭑ ﭒ ﭓ ﭔ ﭕ</w:t>
      </w:r>
      <w:r w:rsidRPr="00FD1E26">
        <w:rPr>
          <w:rFonts w:ascii="QCF_P009" w:hAnsi="QCF_P009" w:cs="DecoType Thuluth"/>
          <w:b/>
          <w:bCs/>
          <w:spacing w:val="4"/>
          <w:sz w:val="18"/>
          <w:szCs w:val="18"/>
          <w:rtl/>
        </w:rPr>
        <w:t>}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[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البقرة: 58]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</w:rPr>
        <w:t>فخرج ذلك بالنون</w:t>
      </w:r>
      <w:r w:rsidRPr="00FD1E26">
        <w:rPr>
          <w:rFonts w:ascii="Simplified Arabic" w:hAnsi="Simplified Arabic" w:cs="AL-Hotham"/>
          <w:b/>
          <w:bCs/>
          <w:spacing w:val="4"/>
          <w:sz w:val="18"/>
          <w:szCs w:val="18"/>
          <w:rtl/>
          <w:lang w:bidi="ar-EG"/>
        </w:rPr>
        <w:t>.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both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وهناك أيضًا ما يسمى بالمشاكلة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الصوتية، وذلك باعث من بواعث الاحتجاج لقراءة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  <w:lang w:bidi="ar-EG"/>
        </w:rPr>
        <w:t>: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444" w:hAnsi="QCF_P444" w:cs="QCF_P444"/>
          <w:b/>
          <w:bCs/>
          <w:sz w:val="18"/>
          <w:szCs w:val="18"/>
          <w:rtl/>
        </w:rPr>
        <w:t>ﯓ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[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الفاتحة: 6] فقال أبو علي الفارسي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>: "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قد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يحدث أشياء تدل على تقويم غير الأصل على الأصل؛ طلب</w:t>
      </w:r>
      <w:r w:rsidRPr="00FD1E26">
        <w:rPr>
          <w:rFonts w:ascii="Simplified Arabic" w:hAnsi="Simplified Arabic" w:cs="AL-Hotham" w:hint="cs"/>
          <w:b/>
          <w:bCs/>
          <w:sz w:val="18"/>
          <w:szCs w:val="18"/>
          <w:rtl/>
        </w:rPr>
        <w:t>ً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 يبين أو يوجب الموافقة، ألا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ترى أن الأصل الذي هو السين في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{</w:t>
      </w:r>
      <w:r w:rsidRPr="00FD1E26">
        <w:rPr>
          <w:rFonts w:ascii="QCF_P444" w:hAnsi="QCF_P444" w:cs="QCF_P444"/>
          <w:b/>
          <w:bCs/>
          <w:sz w:val="18"/>
          <w:szCs w:val="18"/>
          <w:rtl/>
        </w:rPr>
        <w:t>ﯓ</w:t>
      </w:r>
      <w:r w:rsidRPr="00FD1E26">
        <w:rPr>
          <w:rFonts w:ascii="Simplified Arabic" w:hAnsi="Simplified Arabic" w:cs="DecoType Thuluth"/>
          <w:b/>
          <w:bCs/>
          <w:sz w:val="18"/>
          <w:szCs w:val="18"/>
          <w:rtl/>
          <w:lang w:bidi="ar-EG"/>
        </w:rPr>
        <w:t>}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مكان الصاد أحسن منه، وأن النون التي هي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الأصل في شَنْبَان قد رفضت وترك استعمالها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". 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lowKashida"/>
        <w:rPr>
          <w:rFonts w:ascii="Simplified Arabic" w:hAnsi="Simplified Arabic" w:cs="AL-Hotham"/>
          <w:b/>
          <w:bCs/>
          <w:sz w:val="18"/>
          <w:szCs w:val="18"/>
          <w:lang w:bidi="ar-EG"/>
        </w:rPr>
      </w:pP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كذلك هناك ما يسمى بالمشاكلة اللفظية أو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المشاكلة الإعرابية، وعلى كل فالاحتجاج للقراءات أمر من الأمور التي اهتم بها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العلماء، وهناك ما يسمى بالاحتجاج بالقراءة، يعني أن أحتج بالقراءة على مذهب من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 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</w:rPr>
        <w:t>مذاهب اللغة، أو على مذهب من مذاهب الفقه، أو ما شابه ذلك</w:t>
      </w:r>
      <w:r w:rsidRPr="00FD1E26">
        <w:rPr>
          <w:rFonts w:ascii="Simplified Arabic" w:hAnsi="Simplified Arabic" w:cs="AL-Hotham"/>
          <w:b/>
          <w:bCs/>
          <w:sz w:val="18"/>
          <w:szCs w:val="18"/>
          <w:rtl/>
          <w:lang w:bidi="ar-EG"/>
        </w:rPr>
        <w:t xml:space="preserve">. 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AL-Hotham"/>
          <w:b/>
          <w:bCs/>
          <w:sz w:val="18"/>
          <w:szCs w:val="18"/>
        </w:rPr>
      </w:pPr>
    </w:p>
    <w:p w:rsidR="00FD1E26" w:rsidRPr="00FD1E26" w:rsidRDefault="00FD1E26" w:rsidP="00FD1E26">
      <w:pPr>
        <w:jc w:val="lowKashida"/>
        <w:rPr>
          <w:rFonts w:asciiTheme="majorBidi" w:hAnsiTheme="majorBidi" w:cstheme="majorBidi" w:hint="cs"/>
          <w:b/>
          <w:bCs/>
          <w:sz w:val="18"/>
          <w:szCs w:val="18"/>
          <w:rtl/>
        </w:rPr>
      </w:pPr>
    </w:p>
    <w:p w:rsidR="00FD1E26" w:rsidRPr="00FD1E26" w:rsidRDefault="00FD1E26" w:rsidP="00FD1E26">
      <w:pPr>
        <w:jc w:val="lowKashida"/>
        <w:rPr>
          <w:rFonts w:asciiTheme="majorBidi" w:hAnsiTheme="majorBidi" w:cstheme="majorBidi" w:hint="cs"/>
          <w:b/>
          <w:bCs/>
          <w:sz w:val="18"/>
          <w:szCs w:val="18"/>
        </w:rPr>
      </w:pPr>
      <w:r w:rsidRPr="00FD1E26">
        <w:rPr>
          <w:rFonts w:asciiTheme="majorBidi" w:hAnsiTheme="majorBidi" w:cstheme="majorBidi" w:hint="cs"/>
          <w:b/>
          <w:bCs/>
          <w:sz w:val="18"/>
          <w:szCs w:val="18"/>
          <w:rtl/>
        </w:rPr>
        <w:t>المراجع والمصادر</w:t>
      </w:r>
    </w:p>
    <w:p w:rsidR="00FD1E26" w:rsidRPr="00FD1E26" w:rsidRDefault="00FD1E26" w:rsidP="00FD1E2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(المحتسب في تبيين وجوه شواذ القراءات والإيضاح عنها) </w:t>
      </w:r>
    </w:p>
    <w:p w:rsidR="00FD1E26" w:rsidRPr="00FD1E26" w:rsidRDefault="00FD1E26" w:rsidP="00FD1E26">
      <w:pPr>
        <w:ind w:left="46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>أبو الفتح عثمان بن جني،  بتحقيق علي النجدي ناصف وزميليه، القاهرة، طبعة المجلس الأعلى للشئون الإسلامية، 1994م</w:t>
      </w:r>
    </w:p>
    <w:p w:rsidR="00FD1E26" w:rsidRPr="00FD1E26" w:rsidRDefault="00FD1E26" w:rsidP="00FD1E2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(مرشد الأعزة في بيان موقف العلماء من القراءات الشاذة) </w:t>
      </w:r>
    </w:p>
    <w:p w:rsidR="00FD1E26" w:rsidRPr="00FD1E26" w:rsidRDefault="00FD1E26" w:rsidP="00FD1E26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>عبد الكريم إبراهيم صالح،  دار المحدثين, 2006م</w:t>
      </w:r>
    </w:p>
    <w:p w:rsidR="00FD1E26" w:rsidRPr="00FD1E26" w:rsidRDefault="00FD1E26" w:rsidP="00FD1E2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</w:rPr>
        <w:t>)</w:t>
      </w: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إعراب القراءات الشواذ) </w:t>
      </w:r>
    </w:p>
    <w:p w:rsidR="00FD1E26" w:rsidRPr="00FD1E26" w:rsidRDefault="00FD1E26" w:rsidP="00FD1E26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lastRenderedPageBreak/>
        <w:t>أبو البقاء العكبري،  بتحقيق محمد السيد أحمد عزوز،  عالم الكتب, 1996م</w:t>
      </w:r>
    </w:p>
    <w:p w:rsidR="00FD1E26" w:rsidRPr="00FD1E26" w:rsidRDefault="00FD1E26" w:rsidP="00FD1E2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(الاختلاف بين القراءات) </w:t>
      </w:r>
    </w:p>
    <w:p w:rsidR="00FD1E26" w:rsidRPr="00FD1E26" w:rsidRDefault="00FD1E26" w:rsidP="00FD1E26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>أحمد البيلي،  بيروت، دار الجبل، 1988م</w:t>
      </w:r>
    </w:p>
    <w:p w:rsidR="00FD1E26" w:rsidRPr="00FD1E26" w:rsidRDefault="00FD1E26" w:rsidP="00FD1E2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النحوي) </w:t>
      </w:r>
    </w:p>
    <w:p w:rsidR="00FD1E26" w:rsidRPr="00FD1E26" w:rsidRDefault="00FD1E26" w:rsidP="00FD1E26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>محمود أحمد الصغير، بيروت، دار الفكر المعاصر, 1999م</w:t>
      </w:r>
    </w:p>
    <w:p w:rsidR="00FD1E26" w:rsidRPr="00FD1E26" w:rsidRDefault="00FD1E26" w:rsidP="00FD1E2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(كتاب المصاحف) </w:t>
      </w:r>
    </w:p>
    <w:p w:rsidR="00FD1E26" w:rsidRPr="00FD1E26" w:rsidRDefault="00FD1E26" w:rsidP="00FD1E26">
      <w:pPr>
        <w:ind w:left="567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>أبو بكر عبد الله بن أبي داود سليمان بن الأشعث السجستاني، بيروت، دار الكتب العلمية, 1985م</w:t>
      </w:r>
    </w:p>
    <w:p w:rsidR="00FD1E26" w:rsidRPr="00FD1E26" w:rsidRDefault="00FD1E26" w:rsidP="00FD1E2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(مختصر في شواذ القران من كتاب البديع أو القراءات الشاذة) </w:t>
      </w:r>
    </w:p>
    <w:p w:rsidR="00FD1E26" w:rsidRPr="00FD1E26" w:rsidRDefault="00FD1E26" w:rsidP="00FD1E26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>الحسين بن احمد ابن خالويه، دار الهجرة،  1934م</w:t>
      </w:r>
    </w:p>
    <w:p w:rsidR="00FD1E26" w:rsidRPr="00FD1E26" w:rsidRDefault="00FD1E26" w:rsidP="00FD1E2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القرآنية في بلاد الشام) </w:t>
      </w:r>
    </w:p>
    <w:p w:rsidR="00FD1E26" w:rsidRPr="00FD1E26" w:rsidRDefault="00FD1E26" w:rsidP="00FD1E26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>حسين عطوان، بيروت، دار الجيل, 1982م</w:t>
      </w:r>
    </w:p>
    <w:p w:rsidR="00FD1E26" w:rsidRPr="00FD1E26" w:rsidRDefault="00FD1E26" w:rsidP="00FD1E2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(القراءات الشاذة وتوجيهها من لغة العرب) </w:t>
      </w:r>
    </w:p>
    <w:p w:rsidR="00FD1E26" w:rsidRPr="00FD1E26" w:rsidRDefault="00FD1E26" w:rsidP="00FD1E26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>عبد الفتاح القاضي، الهيئة العامة لشئون المطابع الأميرية، 1975م</w:t>
      </w:r>
    </w:p>
    <w:p w:rsidR="00FD1E26" w:rsidRPr="00FD1E26" w:rsidRDefault="00FD1E26" w:rsidP="00FD1E2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(اليزيدي القارئ النحوي دراسة نحوية قرآنية) </w:t>
      </w:r>
    </w:p>
    <w:p w:rsidR="00FD1E26" w:rsidRPr="00FD1E26" w:rsidRDefault="00FD1E26" w:rsidP="00FD1E26">
      <w:pPr>
        <w:ind w:left="284" w:firstLine="283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 ،  دار الحسين الإسلامية, 1989م.</w:t>
      </w:r>
    </w:p>
    <w:p w:rsidR="00FD1E26" w:rsidRPr="00FD1E26" w:rsidRDefault="00FD1E26" w:rsidP="00FD1E2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(شواهد القراءات بين ابن هشام وابن عقيل، دراسة نحوية تحليلية) </w:t>
      </w:r>
    </w:p>
    <w:p w:rsidR="00FD1E26" w:rsidRPr="00FD1E26" w:rsidRDefault="00FD1E26" w:rsidP="00FD1E26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>محمد أحمد علي سحلول،  دار الطباعة المحمدية, 1993م</w:t>
      </w:r>
    </w:p>
    <w:p w:rsidR="00FD1E26" w:rsidRPr="00FD1E26" w:rsidRDefault="00FD1E26" w:rsidP="00FD1E2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أبي السمال العدوي) </w:t>
      </w:r>
    </w:p>
    <w:p w:rsidR="00FD1E26" w:rsidRPr="00FD1E26" w:rsidRDefault="00FD1E26" w:rsidP="00FD1E26">
      <w:pPr>
        <w:ind w:left="284" w:firstLine="436"/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>حمدي عبد الفتاح مصطفى خليل، الجريس، القاهرة, 2000م</w:t>
      </w:r>
    </w:p>
    <w:p w:rsidR="00FD1E26" w:rsidRPr="00FD1E26" w:rsidRDefault="00FD1E26" w:rsidP="00FD1E26">
      <w:pPr>
        <w:numPr>
          <w:ilvl w:val="0"/>
          <w:numId w:val="1"/>
        </w:numPr>
        <w:jc w:val="lowKashida"/>
        <w:rPr>
          <w:rFonts w:asciiTheme="majorBidi" w:hAnsiTheme="majorBidi" w:cstheme="majorBidi"/>
          <w:b/>
          <w:bCs/>
          <w:sz w:val="18"/>
          <w:szCs w:val="18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</w:rPr>
        <w:t xml:space="preserve">(قراءة عبد الله بن مسعود مكانتها ومصادرها إحصاؤها) </w:t>
      </w: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ind w:left="284" w:firstLine="436"/>
        <w:jc w:val="both"/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</w:pPr>
      <w:r w:rsidRPr="00FD1E26">
        <w:rPr>
          <w:rFonts w:asciiTheme="majorBidi" w:hAnsiTheme="majorBidi" w:cstheme="majorBidi"/>
          <w:b/>
          <w:bCs/>
          <w:sz w:val="18"/>
          <w:szCs w:val="18"/>
          <w:rtl/>
          <w:lang w:bidi="ar-EG"/>
        </w:rPr>
        <w:t>محمد أحمد خاطر، دار الاعتصام, 1990م</w:t>
      </w:r>
    </w:p>
    <w:p w:rsidR="00FD1E26" w:rsidRPr="00FD1E26" w:rsidRDefault="00FD1E26" w:rsidP="00FD1E26">
      <w:pPr>
        <w:rPr>
          <w:rFonts w:hint="cs"/>
          <w:b/>
          <w:bCs/>
          <w:sz w:val="18"/>
          <w:szCs w:val="18"/>
        </w:rPr>
      </w:pPr>
    </w:p>
    <w:p w:rsidR="00FD1E26" w:rsidRPr="00FD1E26" w:rsidRDefault="00FD1E26" w:rsidP="00FD1E26">
      <w:pPr>
        <w:rPr>
          <w:b/>
          <w:bCs/>
          <w:sz w:val="18"/>
          <w:szCs w:val="18"/>
        </w:rPr>
      </w:pPr>
    </w:p>
    <w:p w:rsidR="00FD1E26" w:rsidRPr="00FD1E26" w:rsidRDefault="00FD1E26" w:rsidP="00FD1E26">
      <w:pPr>
        <w:pStyle w:val="NormalWeb"/>
        <w:bidi/>
        <w:spacing w:before="0" w:beforeAutospacing="0" w:after="0" w:afterAutospacing="0"/>
        <w:jc w:val="center"/>
        <w:rPr>
          <w:rFonts w:ascii="Simplified Arabic" w:hAnsi="Simplified Arabic" w:cs="AL-Hotham"/>
          <w:b/>
          <w:bCs/>
          <w:sz w:val="18"/>
          <w:szCs w:val="18"/>
          <w:rtl/>
        </w:rPr>
        <w:sectPr w:rsidR="00FD1E26" w:rsidRPr="00FD1E26" w:rsidSect="00FD1E26">
          <w:type w:val="continuous"/>
          <w:pgSz w:w="11906" w:h="16838" w:code="9"/>
          <w:pgMar w:top="567" w:right="707" w:bottom="993" w:left="1560" w:header="720" w:footer="720" w:gutter="0"/>
          <w:cols w:num="2" w:space="720"/>
          <w:titlePg/>
          <w:bidi/>
          <w:rtlGutter/>
          <w:docGrid w:linePitch="360"/>
        </w:sectPr>
      </w:pPr>
    </w:p>
    <w:p w:rsidR="00FD1E26" w:rsidRDefault="00FD1E26" w:rsidP="00FD1E26">
      <w:pPr>
        <w:spacing w:before="60"/>
        <w:jc w:val="center"/>
        <w:rPr>
          <w:rFonts w:asciiTheme="majorBidi" w:eastAsia="Calibri" w:hAnsiTheme="majorBidi" w:cstheme="majorBidi"/>
          <w:b/>
          <w:bCs/>
          <w:sz w:val="48"/>
          <w:szCs w:val="48"/>
          <w:rtl/>
          <w:lang w:bidi="ar-SA"/>
        </w:rPr>
        <w:sectPr w:rsidR="00FD1E26" w:rsidSect="004168A0">
          <w:pgSz w:w="11906" w:h="16838"/>
          <w:pgMar w:top="1440" w:right="1800" w:bottom="1440" w:left="1800" w:header="708" w:footer="708" w:gutter="0"/>
          <w:cols w:space="708"/>
          <w:bidi/>
          <w:rtlGutter/>
          <w:docGrid w:linePitch="360"/>
        </w:sectPr>
      </w:pPr>
    </w:p>
    <w:p w:rsidR="00FD1E26" w:rsidRPr="00FD1E26" w:rsidRDefault="00FD1E26" w:rsidP="00FD1E26">
      <w:pPr>
        <w:spacing w:before="60"/>
        <w:jc w:val="center"/>
        <w:rPr>
          <w:rFonts w:asciiTheme="majorBidi" w:eastAsia="Calibri" w:hAnsiTheme="majorBidi" w:cstheme="majorBidi"/>
          <w:b/>
          <w:bCs/>
          <w:sz w:val="48"/>
          <w:szCs w:val="48"/>
          <w:lang w:bidi="ar-SA"/>
        </w:rPr>
      </w:pPr>
    </w:p>
    <w:p w:rsidR="004219C3" w:rsidRDefault="004219C3">
      <w:pPr>
        <w:rPr>
          <w:rFonts w:hint="cs"/>
          <w:rtl/>
        </w:rPr>
      </w:pPr>
    </w:p>
    <w:p w:rsidR="00FD1E26" w:rsidRDefault="00FD1E26"/>
    <w:sectPr w:rsidR="00FD1E26" w:rsidSect="00FD1E26">
      <w:type w:val="continuous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305E" w:rsidRDefault="0075305E" w:rsidP="00FD1E26">
      <w:r>
        <w:separator/>
      </w:r>
    </w:p>
  </w:endnote>
  <w:endnote w:type="continuationSeparator" w:id="1">
    <w:p w:rsidR="0075305E" w:rsidRDefault="0075305E" w:rsidP="00FD1E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L-Mateen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GA Granada Regul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AL-Hotha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DecoType Thuluth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QCF_P007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Traditional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QCF_P44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26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311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06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AGA Arabesque">
    <w:altName w:val="Symbol"/>
    <w:charset w:val="02"/>
    <w:family w:val="auto"/>
    <w:pitch w:val="variable"/>
    <w:sig w:usb0="00000000" w:usb1="10000000" w:usb2="00000000" w:usb3="00000000" w:csb0="80000000" w:csb1="00000000"/>
  </w:font>
  <w:font w:name="QCF_P009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025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QCF_P444">
    <w:panose1 w:val="02000400000000000000"/>
    <w:charset w:val="00"/>
    <w:family w:val="auto"/>
    <w:pitch w:val="variable"/>
    <w:sig w:usb0="80002003" w:usb1="90000000" w:usb2="00000008" w:usb3="00000000" w:csb0="8000004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305E" w:rsidRDefault="0075305E" w:rsidP="00FD1E26">
      <w:r>
        <w:separator/>
      </w:r>
    </w:p>
  </w:footnote>
  <w:footnote w:type="continuationSeparator" w:id="1">
    <w:p w:rsidR="0075305E" w:rsidRDefault="0075305E" w:rsidP="00FD1E2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6E9" w:rsidRDefault="0075305E">
    <w:pPr>
      <w:pStyle w:val="Header"/>
    </w:pPr>
    <w:r>
      <w:rPr>
        <w:noProof/>
        <w:lang w:bidi="ar-SA"/>
      </w:rPr>
      <w:pict>
        <v:group id="_x0000_s1032" style="position:absolute;left:0;text-align:left;margin-left:3.5pt;margin-top:75.5pt;width:333.5pt;height:619.25pt;z-index:251661312" coordorigin="2625,2234" coordsize="6670,12385">
          <v:line id="_x0000_s1033" style="position:absolute" from="2648,14404" to="9269,14404" strokecolor="#95b3d7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_x0000_s1034" type="#_x0000_t202" style="position:absolute;left:8512;top:14165;width:754;height:454" fillcolor="#4f81bd" stroked="f">
            <v:fill color2="fill darken(118)" rotate="t" angle="-135" method="linear sigma" focus="100%" type="gradient"/>
            <v:shadow on="t" type="perspective" opacity=".5" origin=",.5" offset="0,0" matrix=",56756f,,.5"/>
            <v:textbox style="mso-next-textbox:#_x0000_s1034" inset="0,,0">
              <w:txbxContent>
                <w:p w:rsidR="00C326E9" w:rsidRPr="00907733" w:rsidRDefault="0075305E" w:rsidP="005E730C">
                  <w:pPr>
                    <w:spacing w:line="280" w:lineRule="exact"/>
                    <w:jc w:val="center"/>
                    <w:rPr>
                      <w:rFonts w:cs="AL-Mateen" w:hint="cs"/>
                      <w:color w:val="FFFFFF"/>
                      <w:sz w:val="40"/>
                      <w:szCs w:val="40"/>
                      <w:rtl/>
                    </w:rPr>
                  </w:pP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begin"/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instrText xml:space="preserve"> PAGE </w:instrTex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separate"/>
                  </w:r>
                  <w:r>
                    <w:rPr>
                      <w:rStyle w:val="PageNumber"/>
                      <w:rFonts w:cs="AL-Mateen"/>
                      <w:noProof/>
                      <w:color w:val="FFFFFF"/>
                      <w:sz w:val="40"/>
                      <w:szCs w:val="40"/>
                      <w:rtl/>
                    </w:rPr>
                    <w:t>98</w:t>
                  </w:r>
                  <w:r w:rsidRPr="00907733">
                    <w:rPr>
                      <w:rStyle w:val="PageNumber"/>
                      <w:rFonts w:cs="AL-Mateen"/>
                      <w:color w:val="FFFFFF"/>
                      <w:sz w:val="40"/>
                      <w:szCs w:val="40"/>
                    </w:rPr>
                    <w:fldChar w:fldCharType="end"/>
                  </w:r>
                </w:p>
              </w:txbxContent>
            </v:textbox>
          </v:shape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5305;top:2501;width:3969;height:0;flip:x" o:connectortype="straight" strokecolor="#95b3d7" strokeweight="1pt">
            <v:shadow type="perspective" color="#243f60" opacity=".5" offset="1pt" offset2="-3pt"/>
          </v:shape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6" type="#_x0000_t136" style="position:absolute;left:2625;top:2282;width:2551;height:397" fillcolor="#369" stroked="f">
            <v:shadow on="t" color="#b2b2b2" opacity="52429f" offset="1pt,0" offset2="-4pt,-4pt"/>
            <v:textpath style="font-family:&quot;Al-Mothnna&quot;;v-text-kern:t" trim="t" fitpath="t" string="القراءات الشاذة"/>
          </v:shape>
          <v:rect id="_x0000_s1037" style="position:absolute;left:7594;top:2234;width:1701;height:509" fillcolor="#4f81bd" strokecolor="#f2f2f2" strokeweight="1pt">
            <v:fill color2="#243f60" angle="-135" focusposition="1" focussize="" focus="100%" type="gradient"/>
            <v:shadow on="t" type="perspective" color="#b8cce4" opacity=".5" origin=",.5" offset="0,0" matrix=",56756f,,.5"/>
            <v:textbox style="mso-next-textbox:#_x0000_s1037">
              <w:txbxContent>
                <w:p w:rsidR="00C326E9" w:rsidRPr="00E31343" w:rsidRDefault="0075305E" w:rsidP="005E730C">
                  <w:pPr>
                    <w:ind w:left="428"/>
                    <w:rPr>
                      <w:rFonts w:cs="AGA Granada Regular"/>
                      <w:color w:val="FFFFFF"/>
                      <w:sz w:val="36"/>
                      <w:szCs w:val="36"/>
                      <w:rtl/>
                    </w:rPr>
                  </w:pPr>
                </w:p>
              </w:txbxContent>
            </v:textbox>
          </v:rect>
          <v:shape id="_x0000_s1038" type="#_x0000_t136" style="position:absolute;left:7736;top:2330;width:1417;height:317" stroked="f">
            <v:shadow on="t" color="black" opacity="52429f" offset="1pt,0" offset2="-4pt,-4pt"/>
            <v:textpath style="font-family:&quot;AGA Granada Regular&quot;;v-text-kern:t" trim="t" fitpath="t" string="الدرس الخامس"/>
          </v:shape>
          <w10:wrap anchorx="page"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A128C"/>
    <w:multiLevelType w:val="hybridMultilevel"/>
    <w:tmpl w:val="5F7ECD24"/>
    <w:lvl w:ilvl="0" w:tplc="DDAE06A2">
      <w:start w:val="1"/>
      <w:numFmt w:val="bullet"/>
      <w:lvlText w:val=""/>
      <w:lvlJc w:val="center"/>
      <w:pPr>
        <w:ind w:left="154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3" w:hanging="360"/>
      </w:pPr>
      <w:rPr>
        <w:rFonts w:ascii="Wingdings" w:hAnsi="Wingdings" w:hint="default"/>
      </w:rPr>
    </w:lvl>
  </w:abstractNum>
  <w:abstractNum w:abstractNumId="1">
    <w:nsid w:val="456E4553"/>
    <w:multiLevelType w:val="hybridMultilevel"/>
    <w:tmpl w:val="6E0A04EA"/>
    <w:lvl w:ilvl="0" w:tplc="1BB2DDB4">
      <w:start w:val="1"/>
      <w:numFmt w:val="bullet"/>
      <w:lvlText w:val=""/>
      <w:lvlJc w:val="center"/>
      <w:pPr>
        <w:ind w:left="1723" w:hanging="360"/>
      </w:pPr>
      <w:rPr>
        <w:rFonts w:ascii="Symbol" w:hAnsi="Symbol" w:cs="Symbol" w:hint="default"/>
      </w:rPr>
    </w:lvl>
    <w:lvl w:ilvl="1" w:tplc="040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4AF07C7"/>
    <w:multiLevelType w:val="hybridMultilevel"/>
    <w:tmpl w:val="3DB6F57A"/>
    <w:lvl w:ilvl="0" w:tplc="ED521654">
      <w:start w:val="1"/>
      <w:numFmt w:val="decimal"/>
      <w:lvlText w:val="%1."/>
      <w:lvlJc w:val="left"/>
      <w:pPr>
        <w:tabs>
          <w:tab w:val="num" w:pos="463"/>
        </w:tabs>
        <w:ind w:left="463" w:hanging="283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hdrShapeDefaults>
    <o:shapedefaults v:ext="edit" spidmax="3074"/>
    <o:shapelayout v:ext="edit">
      <o:idmap v:ext="edit" data="1"/>
      <o:rules v:ext="edit">
        <o:r id="V:Rule2" type="connector" idref="#_x0000_s1035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D1E26"/>
    <w:rsid w:val="001A2769"/>
    <w:rsid w:val="004168A0"/>
    <w:rsid w:val="004219C3"/>
    <w:rsid w:val="004A286F"/>
    <w:rsid w:val="0075305E"/>
    <w:rsid w:val="00FD1E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D1E26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E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1E26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FD1E26"/>
    <w:pPr>
      <w:bidi w:val="0"/>
      <w:spacing w:before="100" w:beforeAutospacing="1" w:after="100" w:afterAutospacing="1"/>
    </w:pPr>
    <w:rPr>
      <w:lang w:bidi="ar-SA"/>
    </w:rPr>
  </w:style>
  <w:style w:type="paragraph" w:styleId="Header">
    <w:name w:val="header"/>
    <w:basedOn w:val="Normal"/>
    <w:link w:val="HeaderChar"/>
    <w:rsid w:val="00FD1E2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FD1E26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PageNumber">
    <w:name w:val="page number"/>
    <w:basedOn w:val="DefaultParagraphFont"/>
    <w:rsid w:val="00FD1E26"/>
  </w:style>
  <w:style w:type="paragraph" w:styleId="Footer">
    <w:name w:val="footer"/>
    <w:basedOn w:val="Normal"/>
    <w:link w:val="FooterChar"/>
    <w:uiPriority w:val="99"/>
    <w:semiHidden/>
    <w:unhideWhenUsed/>
    <w:rsid w:val="00FD1E2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D1E26"/>
    <w:rPr>
      <w:rFonts w:ascii="Times New Roman" w:eastAsia="Times New Roman" w:hAnsi="Times New Roman" w:cs="Times New Roman"/>
      <w:sz w:val="24"/>
      <w:szCs w:val="24"/>
      <w:lang w:bidi="ar-EG"/>
    </w:rPr>
  </w:style>
  <w:style w:type="character" w:styleId="Hyperlink">
    <w:name w:val="Hyperlink"/>
    <w:basedOn w:val="DefaultParagraphFont"/>
    <w:uiPriority w:val="99"/>
    <w:unhideWhenUsed/>
    <w:rsid w:val="00FD1E2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hmedmsamir54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987</Words>
  <Characters>5631</Characters>
  <Application>Microsoft Office Word</Application>
  <DocSecurity>0</DocSecurity>
  <Lines>46</Lines>
  <Paragraphs>13</Paragraphs>
  <ScaleCrop>false</ScaleCrop>
  <Company>Fannan</Company>
  <LinksUpToDate>false</LinksUpToDate>
  <CharactersWithSpaces>6605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Fannan NewLook V5</dc:creator>
  <cp:keywords/>
  <dc:description/>
  <cp:lastModifiedBy>Fannan NewLook V5</cp:lastModifiedBy>
  <cp:revision>1</cp:revision>
  <dcterms:created xsi:type="dcterms:W3CDTF">2013-06-16T14:18:00Z</dcterms:created>
  <dcterms:modified xsi:type="dcterms:W3CDTF">2013-06-16T14:23:00Z</dcterms:modified>
</cp:coreProperties>
</file>