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9C3" w:rsidRDefault="000E2D97" w:rsidP="000E2D97">
      <w:pPr>
        <w:jc w:val="center"/>
        <w:rPr>
          <w:rFonts w:asciiTheme="majorBidi" w:eastAsia="Calibri" w:hAnsiTheme="majorBidi" w:cstheme="majorBidi" w:hint="cs"/>
          <w:b/>
          <w:bCs/>
          <w:sz w:val="48"/>
          <w:szCs w:val="48"/>
          <w:rtl/>
        </w:rPr>
      </w:pPr>
      <w:r w:rsidRPr="000E2D97">
        <w:rPr>
          <w:rFonts w:asciiTheme="majorBidi" w:eastAsia="Calibri" w:hAnsiTheme="majorBidi" w:cstheme="majorBidi"/>
          <w:b/>
          <w:bCs/>
          <w:sz w:val="48"/>
          <w:szCs w:val="48"/>
          <w:rtl/>
        </w:rPr>
        <w:t>الملامح العامة لحركة القراءات الشاذة</w:t>
      </w:r>
    </w:p>
    <w:p w:rsidR="000E2D97" w:rsidRPr="00F7753E" w:rsidRDefault="000E2D97" w:rsidP="000E2D97">
      <w:pPr>
        <w:spacing w:after="0" w:line="240" w:lineRule="auto"/>
        <w:jc w:val="lowKashida"/>
        <w:rPr>
          <w:rFonts w:asciiTheme="majorBidi" w:hAnsiTheme="majorBidi" w:cstheme="majorBidi" w:hint="cs"/>
          <w:b/>
          <w:bCs/>
          <w:sz w:val="18"/>
          <w:szCs w:val="18"/>
          <w:rtl/>
        </w:rPr>
      </w:pPr>
    </w:p>
    <w:p w:rsidR="000E2D97" w:rsidRPr="00F7753E" w:rsidRDefault="000E2D97" w:rsidP="000E2D97">
      <w:pPr>
        <w:spacing w:after="0" w:line="240" w:lineRule="auto"/>
        <w:jc w:val="lowKashida"/>
        <w:rPr>
          <w:rFonts w:asciiTheme="majorBidi" w:hAnsiTheme="majorBidi" w:cstheme="majorBidi" w:hint="cs"/>
          <w:b/>
          <w:bCs/>
          <w:sz w:val="18"/>
          <w:szCs w:val="18"/>
          <w:rtl/>
        </w:rPr>
      </w:pPr>
    </w:p>
    <w:p w:rsidR="000E2D97" w:rsidRPr="00F7753E" w:rsidRDefault="000E2D97" w:rsidP="000E2D97">
      <w:pPr>
        <w:spacing w:after="0" w:line="240" w:lineRule="auto"/>
        <w:jc w:val="center"/>
        <w:rPr>
          <w:rFonts w:asciiTheme="majorBidi" w:eastAsia="Calibri" w:hAnsiTheme="majorBidi" w:cstheme="majorBidi"/>
          <w:sz w:val="18"/>
          <w:szCs w:val="18"/>
          <w:rtl/>
          <w:lang w:bidi="ar-EG"/>
        </w:rPr>
      </w:pPr>
      <w:r w:rsidRPr="00F7753E">
        <w:rPr>
          <w:rFonts w:asciiTheme="majorBidi" w:hAnsiTheme="majorBidi" w:cstheme="majorBidi"/>
          <w:sz w:val="18"/>
          <w:szCs w:val="18"/>
          <w:rtl/>
        </w:rPr>
        <w:t xml:space="preserve">مبحث فى </w:t>
      </w:r>
      <w:r w:rsidRPr="00F7753E">
        <w:rPr>
          <w:rFonts w:asciiTheme="majorBidi" w:hAnsiTheme="majorBidi" w:cstheme="majorBidi" w:hint="cs"/>
          <w:sz w:val="18"/>
          <w:szCs w:val="18"/>
          <w:rtl/>
        </w:rPr>
        <w:t xml:space="preserve">علم </w:t>
      </w:r>
      <w:r w:rsidRPr="00F7753E">
        <w:rPr>
          <w:rFonts w:asciiTheme="majorBidi" w:eastAsia="Calibri" w:hAnsiTheme="majorBidi" w:cstheme="majorBidi" w:hint="cs"/>
          <w:sz w:val="18"/>
          <w:szCs w:val="18"/>
          <w:rtl/>
          <w:lang w:bidi="ar-EG"/>
        </w:rPr>
        <w:t>القراءات الشاذه</w:t>
      </w:r>
    </w:p>
    <w:p w:rsidR="000E2D97" w:rsidRPr="00426F7E" w:rsidRDefault="000E2D97" w:rsidP="000E2D97">
      <w:pPr>
        <w:spacing w:after="0" w:line="240" w:lineRule="auto"/>
        <w:jc w:val="center"/>
        <w:rPr>
          <w:rFonts w:asciiTheme="majorBidi" w:eastAsia="Times New Roman" w:hAnsiTheme="majorBidi" w:cstheme="majorBidi"/>
          <w:sz w:val="18"/>
          <w:szCs w:val="18"/>
        </w:rPr>
      </w:pPr>
      <w:r w:rsidRPr="00426F7E">
        <w:rPr>
          <w:rFonts w:asciiTheme="majorBidi" w:hAnsiTheme="majorBidi" w:cstheme="majorBidi"/>
          <w:sz w:val="18"/>
          <w:szCs w:val="18"/>
          <w:rtl/>
        </w:rPr>
        <w:t>إعداد / أحمد محمد سمير</w:t>
      </w:r>
    </w:p>
    <w:p w:rsidR="000E2D97" w:rsidRPr="00426F7E" w:rsidRDefault="000E2D97" w:rsidP="000E2D97">
      <w:pPr>
        <w:spacing w:after="0" w:line="240" w:lineRule="auto"/>
        <w:jc w:val="center"/>
        <w:rPr>
          <w:rFonts w:asciiTheme="majorBidi" w:eastAsia="Times New Roman" w:hAnsiTheme="majorBidi" w:cstheme="majorBidi"/>
          <w:sz w:val="18"/>
          <w:szCs w:val="18"/>
        </w:rPr>
      </w:pPr>
      <w:r w:rsidRPr="00426F7E">
        <w:rPr>
          <w:rFonts w:asciiTheme="majorBidi" w:hAnsiTheme="majorBidi" w:cstheme="majorBidi"/>
          <w:sz w:val="18"/>
          <w:szCs w:val="18"/>
          <w:rtl/>
        </w:rPr>
        <w:t>قسم الدعوة وأصول الدين</w:t>
      </w:r>
    </w:p>
    <w:p w:rsidR="000E2D97" w:rsidRPr="00426F7E" w:rsidRDefault="000E2D97" w:rsidP="000E2D97">
      <w:pPr>
        <w:spacing w:after="0" w:line="240" w:lineRule="auto"/>
        <w:jc w:val="center"/>
        <w:rPr>
          <w:rFonts w:asciiTheme="majorBidi" w:hAnsiTheme="majorBidi" w:cstheme="majorBidi"/>
          <w:sz w:val="18"/>
          <w:szCs w:val="18"/>
        </w:rPr>
      </w:pPr>
      <w:r w:rsidRPr="00426F7E">
        <w:rPr>
          <w:rFonts w:asciiTheme="majorBidi" w:hAnsiTheme="majorBidi" w:cstheme="majorBidi"/>
          <w:sz w:val="18"/>
          <w:szCs w:val="18"/>
          <w:rtl/>
        </w:rPr>
        <w:t>كلية العلوم الإسلامية – جامعة المدينة العالمية</w:t>
      </w:r>
    </w:p>
    <w:p w:rsidR="000E2D97" w:rsidRPr="00426F7E" w:rsidRDefault="000E2D97" w:rsidP="000E2D97">
      <w:pPr>
        <w:spacing w:after="0" w:line="240" w:lineRule="auto"/>
        <w:jc w:val="center"/>
        <w:rPr>
          <w:rFonts w:asciiTheme="majorBidi" w:hAnsiTheme="majorBidi" w:cstheme="majorBidi"/>
          <w:sz w:val="18"/>
          <w:szCs w:val="18"/>
          <w:rtl/>
        </w:rPr>
      </w:pPr>
      <w:r w:rsidRPr="00426F7E">
        <w:rPr>
          <w:rFonts w:asciiTheme="majorBidi" w:hAnsiTheme="majorBidi" w:cstheme="majorBidi"/>
          <w:sz w:val="18"/>
          <w:szCs w:val="18"/>
          <w:rtl/>
        </w:rPr>
        <w:t>شاه علم - ماليزيا</w:t>
      </w:r>
    </w:p>
    <w:p w:rsidR="000E2D97" w:rsidRDefault="000E2D97" w:rsidP="000E2D97">
      <w:pPr>
        <w:tabs>
          <w:tab w:val="left" w:pos="4050"/>
        </w:tabs>
        <w:spacing w:after="0"/>
        <w:jc w:val="center"/>
        <w:rPr>
          <w:rFonts w:asciiTheme="majorBidi" w:hAnsiTheme="majorBidi" w:cstheme="majorBidi"/>
          <w:b/>
          <w:bCs/>
          <w:sz w:val="18"/>
          <w:szCs w:val="18"/>
          <w:rtl/>
          <w:lang w:bidi="ar-EG"/>
        </w:rPr>
      </w:pPr>
      <w:hyperlink r:id="rId7" w:history="1">
        <w:r w:rsidRPr="00DE0243">
          <w:rPr>
            <w:rStyle w:val="Hyperlink"/>
            <w:rFonts w:asciiTheme="majorBidi" w:hAnsiTheme="majorBidi" w:cstheme="majorBidi"/>
            <w:b/>
            <w:bCs/>
            <w:sz w:val="18"/>
            <w:szCs w:val="18"/>
            <w:lang w:bidi="ar-EG"/>
          </w:rPr>
          <w:t>Ahmedmsamir54@gmail.com</w:t>
        </w:r>
      </w:hyperlink>
    </w:p>
    <w:p w:rsidR="000E2D97" w:rsidRPr="00426F7E" w:rsidRDefault="000E2D97" w:rsidP="000E2D97">
      <w:pPr>
        <w:tabs>
          <w:tab w:val="left" w:pos="4050"/>
        </w:tabs>
        <w:spacing w:after="0"/>
        <w:jc w:val="center"/>
        <w:rPr>
          <w:rFonts w:asciiTheme="majorBidi" w:hAnsiTheme="majorBidi" w:cstheme="majorBidi"/>
          <w:b/>
          <w:bCs/>
          <w:sz w:val="18"/>
          <w:szCs w:val="18"/>
          <w:lang w:bidi="ar-EG"/>
        </w:rPr>
      </w:pPr>
    </w:p>
    <w:p w:rsidR="000E2D97" w:rsidRDefault="000E2D97" w:rsidP="000E2D97">
      <w:pPr>
        <w:spacing w:after="0" w:line="240" w:lineRule="auto"/>
        <w:jc w:val="center"/>
        <w:rPr>
          <w:rFonts w:asciiTheme="majorBidi" w:hAnsiTheme="majorBidi" w:cstheme="majorBidi"/>
          <w:b/>
          <w:bCs/>
          <w:sz w:val="18"/>
          <w:szCs w:val="18"/>
          <w:rtl/>
        </w:rPr>
        <w:sectPr w:rsidR="000E2D97" w:rsidSect="000E2D97">
          <w:headerReference w:type="even" r:id="rId8"/>
          <w:pgSz w:w="11906" w:h="16838" w:code="9"/>
          <w:pgMar w:top="1418" w:right="1133" w:bottom="568" w:left="1418" w:header="720" w:footer="720" w:gutter="0"/>
          <w:cols w:space="720"/>
          <w:titlePg/>
          <w:bidi/>
          <w:rtlGutter/>
          <w:docGrid w:linePitch="360"/>
        </w:sectPr>
      </w:pPr>
    </w:p>
    <w:p w:rsidR="000E2D97" w:rsidRPr="000E2D97" w:rsidRDefault="000E2D97" w:rsidP="000E2D97">
      <w:pPr>
        <w:spacing w:after="0" w:line="240" w:lineRule="auto"/>
        <w:jc w:val="center"/>
        <w:rPr>
          <w:rFonts w:asciiTheme="majorBidi" w:eastAsia="Calibri" w:hAnsiTheme="majorBidi" w:cstheme="majorBidi" w:hint="cs"/>
          <w:b/>
          <w:bCs/>
          <w:sz w:val="18"/>
          <w:szCs w:val="18"/>
          <w:rtl/>
        </w:rPr>
      </w:pPr>
      <w:r w:rsidRPr="000E2D97">
        <w:rPr>
          <w:rFonts w:asciiTheme="majorBidi" w:hAnsiTheme="majorBidi" w:cstheme="majorBidi"/>
          <w:b/>
          <w:bCs/>
          <w:sz w:val="18"/>
          <w:szCs w:val="18"/>
          <w:rtl/>
        </w:rPr>
        <w:lastRenderedPageBreak/>
        <w:t xml:space="preserve">الخلاصة – هذا البحث يبحث فى </w:t>
      </w:r>
      <w:r w:rsidRPr="000E2D97">
        <w:rPr>
          <w:rFonts w:asciiTheme="majorBidi" w:eastAsia="Calibri" w:hAnsiTheme="majorBidi" w:cstheme="majorBidi"/>
          <w:b/>
          <w:bCs/>
          <w:sz w:val="18"/>
          <w:szCs w:val="18"/>
          <w:rtl/>
        </w:rPr>
        <w:t>الملامح العامة لحركة القراءات الشاذة</w:t>
      </w:r>
    </w:p>
    <w:p w:rsidR="000E2D97" w:rsidRPr="000E2D97" w:rsidRDefault="000E2D97" w:rsidP="000E2D97">
      <w:pPr>
        <w:spacing w:after="0" w:line="240" w:lineRule="auto"/>
        <w:rPr>
          <w:rFonts w:asciiTheme="majorBidi" w:eastAsia="Calibri" w:hAnsiTheme="majorBidi" w:cstheme="majorBidi"/>
          <w:b/>
          <w:bCs/>
          <w:sz w:val="18"/>
          <w:szCs w:val="18"/>
          <w:rtl/>
        </w:rPr>
      </w:pPr>
    </w:p>
    <w:p w:rsidR="000E2D97" w:rsidRPr="000E2D97" w:rsidRDefault="000E2D97" w:rsidP="000E2D97">
      <w:pPr>
        <w:spacing w:before="60" w:after="0" w:line="240" w:lineRule="auto"/>
        <w:rPr>
          <w:rFonts w:asciiTheme="majorBidi" w:eastAsia="Calibri" w:hAnsiTheme="majorBidi" w:cstheme="majorBidi"/>
          <w:b/>
          <w:bCs/>
          <w:sz w:val="18"/>
          <w:szCs w:val="18"/>
          <w:rtl/>
        </w:rPr>
      </w:pPr>
      <w:r w:rsidRPr="000E2D97">
        <w:rPr>
          <w:rFonts w:asciiTheme="majorBidi" w:eastAsia="Calibri" w:hAnsiTheme="majorBidi" w:cstheme="majorBidi"/>
          <w:b/>
          <w:bCs/>
          <w:sz w:val="18"/>
          <w:szCs w:val="18"/>
          <w:rtl/>
        </w:rPr>
        <w:t xml:space="preserve">الكلمات المفتاحية – </w:t>
      </w:r>
      <w:r w:rsidRPr="000E2D97">
        <w:rPr>
          <w:rFonts w:asciiTheme="majorBidi" w:eastAsia="Calibri" w:hAnsiTheme="majorBidi" w:cstheme="majorBidi" w:hint="cs"/>
          <w:b/>
          <w:bCs/>
          <w:sz w:val="18"/>
          <w:szCs w:val="18"/>
          <w:rtl/>
        </w:rPr>
        <w:t>العامه، لحركه، الشاذه</w:t>
      </w:r>
    </w:p>
    <w:p w:rsidR="000E2D97" w:rsidRPr="000E2D97" w:rsidRDefault="000E2D97" w:rsidP="000E2D97">
      <w:pPr>
        <w:numPr>
          <w:ilvl w:val="0"/>
          <w:numId w:val="2"/>
        </w:numPr>
        <w:spacing w:before="60" w:after="0" w:line="240" w:lineRule="auto"/>
        <w:ind w:left="643" w:hanging="90"/>
        <w:jc w:val="center"/>
        <w:rPr>
          <w:rFonts w:asciiTheme="majorBidi" w:hAnsiTheme="majorBidi" w:cstheme="majorBidi"/>
          <w:b/>
          <w:bCs/>
          <w:sz w:val="18"/>
          <w:szCs w:val="18"/>
          <w:rtl/>
        </w:rPr>
      </w:pPr>
      <w:r w:rsidRPr="000E2D97">
        <w:rPr>
          <w:rFonts w:asciiTheme="majorBidi" w:hAnsiTheme="majorBidi" w:cstheme="majorBidi"/>
          <w:b/>
          <w:bCs/>
          <w:sz w:val="18"/>
          <w:szCs w:val="18"/>
          <w:rtl/>
        </w:rPr>
        <w:t>.المقدمة</w:t>
      </w:r>
    </w:p>
    <w:p w:rsidR="000E2D97" w:rsidRPr="000E2D97" w:rsidRDefault="000E2D97" w:rsidP="000E2D97">
      <w:pPr>
        <w:spacing w:after="0" w:line="240" w:lineRule="auto"/>
        <w:jc w:val="center"/>
        <w:rPr>
          <w:rFonts w:asciiTheme="majorBidi" w:eastAsia="Calibri" w:hAnsiTheme="majorBidi" w:cstheme="majorBidi" w:hint="cs"/>
          <w:b/>
          <w:bCs/>
          <w:sz w:val="18"/>
          <w:szCs w:val="18"/>
          <w:rtl/>
        </w:rPr>
      </w:pPr>
      <w:r w:rsidRPr="000E2D97">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sidRPr="000E2D97">
        <w:rPr>
          <w:rFonts w:asciiTheme="majorBidi" w:eastAsia="Calibri" w:hAnsiTheme="majorBidi" w:cstheme="majorBidi"/>
          <w:b/>
          <w:bCs/>
          <w:sz w:val="18"/>
          <w:szCs w:val="18"/>
          <w:rtl/>
        </w:rPr>
        <w:t>الملامح العامة لحركة القراءات الشاذة</w:t>
      </w:r>
    </w:p>
    <w:p w:rsidR="000E2D97" w:rsidRPr="000E2D97" w:rsidRDefault="000E2D97" w:rsidP="000E2D97">
      <w:pPr>
        <w:spacing w:before="60" w:after="0" w:line="240" w:lineRule="auto"/>
        <w:rPr>
          <w:rFonts w:asciiTheme="majorBidi" w:hAnsiTheme="majorBidi" w:cstheme="majorBidi"/>
          <w:b/>
          <w:bCs/>
          <w:sz w:val="18"/>
          <w:szCs w:val="18"/>
          <w:rtl/>
        </w:rPr>
      </w:pPr>
    </w:p>
    <w:p w:rsidR="000E2D97" w:rsidRPr="000E2D97" w:rsidRDefault="000E2D97" w:rsidP="000E2D97">
      <w:pPr>
        <w:numPr>
          <w:ilvl w:val="0"/>
          <w:numId w:val="3"/>
        </w:numPr>
        <w:spacing w:after="0" w:line="240" w:lineRule="auto"/>
        <w:ind w:left="733" w:hanging="90"/>
        <w:jc w:val="center"/>
        <w:rPr>
          <w:rFonts w:asciiTheme="majorBidi" w:hAnsiTheme="majorBidi" w:cstheme="majorBidi" w:hint="cs"/>
          <w:b/>
          <w:bCs/>
          <w:sz w:val="18"/>
          <w:szCs w:val="18"/>
          <w:rtl/>
        </w:rPr>
      </w:pPr>
      <w:r w:rsidRPr="000E2D97">
        <w:rPr>
          <w:rFonts w:asciiTheme="majorBidi" w:hAnsiTheme="majorBidi" w:cstheme="majorBidi"/>
          <w:b/>
          <w:bCs/>
          <w:sz w:val="18"/>
          <w:szCs w:val="18"/>
          <w:rtl/>
        </w:rPr>
        <w:t>.عنوان المقال</w:t>
      </w:r>
    </w:p>
    <w:p w:rsidR="000E2D97" w:rsidRPr="000E2D97" w:rsidRDefault="000E2D97" w:rsidP="000E2D97">
      <w:pPr>
        <w:spacing w:after="0" w:line="240" w:lineRule="auto"/>
        <w:jc w:val="lowKashida"/>
        <w:rPr>
          <w:rFonts w:ascii="Simplified Arabic" w:hAnsi="Simplified Arabic" w:cs="AL-Hotham" w:hint="cs"/>
          <w:b/>
          <w:bCs/>
          <w:sz w:val="18"/>
          <w:szCs w:val="18"/>
          <w:rtl/>
        </w:rPr>
      </w:pPr>
      <w:r w:rsidRPr="000E2D97">
        <w:rPr>
          <w:rFonts w:ascii="Simplified Arabic" w:hAnsi="Simplified Arabic" w:cs="AL-Hotham"/>
          <w:b/>
          <w:bCs/>
          <w:sz w:val="18"/>
          <w:szCs w:val="18"/>
          <w:rtl/>
        </w:rPr>
        <w:t>نبين الملامح العامة لحركة القراءات الشاذة</w:t>
      </w:r>
      <w:r w:rsidRPr="000E2D97">
        <w:rPr>
          <w:rFonts w:ascii="Simplified Arabic" w:hAnsi="Simplified Arabic" w:cs="AL-Hotham" w:hint="cs"/>
          <w:b/>
          <w:bCs/>
          <w:sz w:val="18"/>
          <w:szCs w:val="18"/>
          <w:rtl/>
        </w:rPr>
        <w:t xml:space="preserve">، </w:t>
      </w:r>
      <w:r w:rsidRPr="000E2D97">
        <w:rPr>
          <w:rFonts w:ascii="Simplified Arabic" w:hAnsi="Simplified Arabic" w:cs="AL-Hotham"/>
          <w:b/>
          <w:bCs/>
          <w:sz w:val="18"/>
          <w:szCs w:val="18"/>
          <w:rtl/>
        </w:rPr>
        <w:t>بين الندرة والتفرد، والتبعيض والقلة، والشذوذ والتشذيذ، وبين الاختيارات والمقاييس الساعية وراء الحد من اضطراب الوجوه، وتحديد مستويات القراءات</w:t>
      </w:r>
      <w:r w:rsidRPr="000E2D97">
        <w:rPr>
          <w:rFonts w:ascii="Simplified Arabic" w:hAnsi="Simplified Arabic" w:cs="AL-Hotham" w:hint="cs"/>
          <w:b/>
          <w:bCs/>
          <w:sz w:val="18"/>
          <w:szCs w:val="18"/>
          <w:rtl/>
        </w:rPr>
        <w:t>.</w:t>
      </w:r>
    </w:p>
    <w:p w:rsidR="000E2D97" w:rsidRPr="000E2D97" w:rsidRDefault="000E2D97" w:rsidP="000E2D97">
      <w:pPr>
        <w:spacing w:after="0" w:line="240" w:lineRule="auto"/>
        <w:jc w:val="lowKashida"/>
        <w:rPr>
          <w:rFonts w:ascii="Simplified Arabic" w:hAnsi="Simplified Arabic" w:cs="AL-Hotham"/>
          <w:b/>
          <w:bCs/>
          <w:sz w:val="18"/>
          <w:szCs w:val="18"/>
          <w:rtl/>
        </w:rPr>
      </w:pPr>
      <w:r w:rsidRPr="000E2D97">
        <w:rPr>
          <w:rFonts w:ascii="Simplified Arabic" w:hAnsi="Simplified Arabic" w:cs="AL-Hotham"/>
          <w:b/>
          <w:bCs/>
          <w:sz w:val="18"/>
          <w:szCs w:val="18"/>
          <w:rtl/>
        </w:rPr>
        <w:t>تعرض قسم وافر من القراءات للقلق وعدم الاستقرار عَبْر تاريخ القراءات، ترجَّح فيه بين الصحة والشذوذ تبعًا لتغير المقاييس وتطورها، فما كان يقرأه العامة أو الكثرةُ منهم أصبح في وقت ما شاذًّا، وما كان يقرأه بعضهم أصبح في وقت آخر صحيحًا مستفيضًا، وما كان يعزَى إلى قارئ واحد غَدَا في وقت آخرَ كثيرًا، وما كان ذائعًا في نشأته أمسى شاذًّا، ثم عاد فأصبح صحيحًا.</w:t>
      </w:r>
    </w:p>
    <w:p w:rsidR="000E2D97" w:rsidRPr="000E2D97" w:rsidRDefault="000E2D97" w:rsidP="000E2D97">
      <w:pPr>
        <w:spacing w:after="0" w:line="240" w:lineRule="auto"/>
        <w:jc w:val="lowKashida"/>
        <w:rPr>
          <w:rFonts w:ascii="Simplified Arabic" w:hAnsi="Simplified Arabic" w:cs="AL-Hotham"/>
          <w:b/>
          <w:bCs/>
          <w:sz w:val="18"/>
          <w:szCs w:val="18"/>
          <w:rtl/>
        </w:rPr>
      </w:pPr>
      <w:r w:rsidRPr="000E2D97">
        <w:rPr>
          <w:rFonts w:ascii="Simplified Arabic" w:hAnsi="Simplified Arabic" w:cs="AL-Hotham"/>
          <w:b/>
          <w:bCs/>
          <w:sz w:val="18"/>
          <w:szCs w:val="18"/>
          <w:rtl/>
        </w:rPr>
        <w:t>ولكنَّ هذا كله على انسجامه وطبيعة تطور العلوم لا يحجب حقيقة المسار العام الذي كانت عليه مستويات القراءات. فالقسم الأعظم في كلا المستويين حافَظ على هويته طيلة القرون.</w:t>
      </w:r>
    </w:p>
    <w:p w:rsidR="000E2D97" w:rsidRPr="000E2D97" w:rsidRDefault="000E2D97" w:rsidP="000E2D97">
      <w:pPr>
        <w:spacing w:after="0" w:line="240" w:lineRule="auto"/>
        <w:jc w:val="lowKashida"/>
        <w:rPr>
          <w:rFonts w:ascii="Simplified Arabic" w:hAnsi="Simplified Arabic" w:cs="AL-Hotham"/>
          <w:b/>
          <w:bCs/>
          <w:sz w:val="18"/>
          <w:szCs w:val="18"/>
          <w:rtl/>
        </w:rPr>
      </w:pPr>
      <w:r w:rsidRPr="000E2D97">
        <w:rPr>
          <w:rFonts w:ascii="Simplified Arabic" w:hAnsi="Simplified Arabic" w:cs="AL-Hotham"/>
          <w:b/>
          <w:bCs/>
          <w:sz w:val="18"/>
          <w:szCs w:val="18"/>
          <w:rtl/>
        </w:rPr>
        <w:t xml:space="preserve">إن معظم الوجوه التي وصفتها عبارات العلماء </w:t>
      </w:r>
      <w:r w:rsidRPr="000E2D97">
        <w:rPr>
          <w:rFonts w:ascii="Simplified Arabic" w:hAnsi="Simplified Arabic" w:cs="Traditional Arabic"/>
          <w:b/>
          <w:bCs/>
          <w:sz w:val="18"/>
          <w:szCs w:val="18"/>
          <w:rtl/>
        </w:rPr>
        <w:t>-</w:t>
      </w:r>
      <w:r w:rsidRPr="000E2D97">
        <w:rPr>
          <w:rFonts w:ascii="Simplified Arabic" w:hAnsi="Simplified Arabic" w:cs="AL-Hotham"/>
          <w:b/>
          <w:bCs/>
          <w:sz w:val="18"/>
          <w:szCs w:val="18"/>
          <w:rtl/>
        </w:rPr>
        <w:t>أي: علماء القرنين الثاني والثالث</w:t>
      </w:r>
      <w:r w:rsidRPr="000E2D97">
        <w:rPr>
          <w:rFonts w:ascii="Simplified Arabic" w:hAnsi="Simplified Arabic" w:cs="Traditional Arabic"/>
          <w:b/>
          <w:bCs/>
          <w:sz w:val="18"/>
          <w:szCs w:val="18"/>
          <w:rtl/>
        </w:rPr>
        <w:t>-</w:t>
      </w:r>
      <w:r w:rsidRPr="000E2D97">
        <w:rPr>
          <w:rFonts w:ascii="Simplified Arabic" w:hAnsi="Simplified Arabic" w:cs="AL-Hotham"/>
          <w:b/>
          <w:bCs/>
          <w:sz w:val="18"/>
          <w:szCs w:val="18"/>
          <w:rtl/>
        </w:rPr>
        <w:t xml:space="preserve"> بالندرة والتفرد والقلة، وكلمة بعضهم، لَبست ثوب الشذوذ الصريح في القرن الرابع، وقنعت به حتى عهد ابن الجزري، فقراءة: "الحمدَ لله" بنصب الدال التي قرأها بعضُ العرب عند الأخفش، وأهلُ البدو عند الفراء، وفي القرنين الثاني والثالث شذذها الطبري وابن مجاهد، وابن خالويه في القرن الرابع، واحتفظت بشذوذها.</w:t>
      </w:r>
    </w:p>
    <w:p w:rsidR="000E2D97" w:rsidRPr="000E2D97" w:rsidRDefault="000E2D97" w:rsidP="000E2D97">
      <w:pPr>
        <w:spacing w:after="0" w:line="240" w:lineRule="auto"/>
        <w:jc w:val="lowKashida"/>
        <w:rPr>
          <w:rFonts w:ascii="Simplified Arabic" w:hAnsi="Simplified Arabic" w:cs="AL-Hotham"/>
          <w:b/>
          <w:bCs/>
          <w:spacing w:val="4"/>
          <w:sz w:val="18"/>
          <w:szCs w:val="18"/>
          <w:rtl/>
        </w:rPr>
      </w:pPr>
      <w:r w:rsidRPr="000E2D97">
        <w:rPr>
          <w:rFonts w:ascii="Simplified Arabic" w:hAnsi="Simplified Arabic" w:cs="AL-Hotham"/>
          <w:b/>
          <w:bCs/>
          <w:spacing w:val="4"/>
          <w:sz w:val="18"/>
          <w:szCs w:val="18"/>
          <w:rtl/>
        </w:rPr>
        <w:t>وقراءة: "لا تقولوا رعنًا"</w:t>
      </w:r>
      <w:r w:rsidRPr="000E2D97">
        <w:rPr>
          <w:rFonts w:ascii="Simplified Arabic" w:hAnsi="Simplified Arabic" w:cs="AL-Hotham" w:hint="cs"/>
          <w:b/>
          <w:bCs/>
          <w:spacing w:val="4"/>
          <w:sz w:val="18"/>
          <w:szCs w:val="18"/>
          <w:rtl/>
        </w:rPr>
        <w:t xml:space="preserve"> [البقرة: 104]</w:t>
      </w:r>
      <w:r w:rsidRPr="000E2D97">
        <w:rPr>
          <w:rFonts w:ascii="Simplified Arabic" w:hAnsi="Simplified Arabic" w:cs="AL-Hotham"/>
          <w:b/>
          <w:bCs/>
          <w:spacing w:val="4"/>
          <w:sz w:val="18"/>
          <w:szCs w:val="18"/>
          <w:rtl/>
        </w:rPr>
        <w:t xml:space="preserve"> بالنصب والتنوين التي انفرد بقراءتها الحسن البصري عند الفراء في القرن الثاني، شذذها الطبري وابن مجاهد، وابن خالويه في القرن الرابع أيضًا، وبقيت شاذةً. وقراءة: "تلتقطه بعض السيارة" </w:t>
      </w:r>
      <w:r w:rsidRPr="000E2D97">
        <w:rPr>
          <w:rFonts w:ascii="Simplified Arabic" w:hAnsi="Simplified Arabic" w:cs="AL-Hotham" w:hint="cs"/>
          <w:b/>
          <w:bCs/>
          <w:spacing w:val="4"/>
          <w:sz w:val="18"/>
          <w:szCs w:val="18"/>
          <w:rtl/>
        </w:rPr>
        <w:t>[</w:t>
      </w:r>
      <w:r w:rsidRPr="000E2D97">
        <w:rPr>
          <w:rFonts w:ascii="Simplified Arabic" w:hAnsi="Simplified Arabic" w:cs="AL-Hotham"/>
          <w:b/>
          <w:bCs/>
          <w:spacing w:val="4"/>
          <w:sz w:val="18"/>
          <w:szCs w:val="18"/>
          <w:rtl/>
        </w:rPr>
        <w:t>يوسف: 10] بالتاء التي قرأها بعض القراء عند سيبويه، وقصرها الفراء على الحسن، شذذها الطبري وأبو جعفر النحاس، وابن خالويه في القرن الرابع، وبقيت شاذةً.</w:t>
      </w:r>
    </w:p>
    <w:p w:rsidR="000E2D97" w:rsidRPr="000E2D97" w:rsidRDefault="000E2D97" w:rsidP="000E2D97">
      <w:pPr>
        <w:spacing w:after="0" w:line="240" w:lineRule="auto"/>
        <w:jc w:val="lowKashida"/>
        <w:rPr>
          <w:rFonts w:ascii="Simplified Arabic" w:hAnsi="Simplified Arabic" w:cs="AL-Hotham"/>
          <w:b/>
          <w:bCs/>
          <w:sz w:val="18"/>
          <w:szCs w:val="18"/>
          <w:rtl/>
        </w:rPr>
      </w:pPr>
      <w:r w:rsidRPr="000E2D97">
        <w:rPr>
          <w:rFonts w:ascii="Simplified Arabic" w:hAnsi="Simplified Arabic" w:cs="AL-Hotham"/>
          <w:b/>
          <w:bCs/>
          <w:sz w:val="18"/>
          <w:szCs w:val="18"/>
          <w:rtl/>
        </w:rPr>
        <w:t>ويكثر هذا النوع من التطور، بل هو المحور الذي سارت عليه القراءات الشاذة في تاريخها، فهي أشبه بماء واحد تنازعتْه بعضُ الألوان، وراعاه مجرى واحد من المنبع إلى المصب.</w:t>
      </w:r>
    </w:p>
    <w:p w:rsidR="000E2D97" w:rsidRPr="000E2D97" w:rsidRDefault="000E2D97" w:rsidP="000E2D97">
      <w:pPr>
        <w:spacing w:after="0" w:line="240" w:lineRule="auto"/>
        <w:jc w:val="both"/>
        <w:rPr>
          <w:rFonts w:ascii="Simplified Arabic" w:hAnsi="Simplified Arabic" w:cs="AL-Hotham"/>
          <w:b/>
          <w:bCs/>
          <w:sz w:val="18"/>
          <w:szCs w:val="18"/>
          <w:rtl/>
        </w:rPr>
      </w:pPr>
      <w:r w:rsidRPr="000E2D97">
        <w:rPr>
          <w:rFonts w:ascii="Simplified Arabic" w:hAnsi="Simplified Arabic" w:cs="AL-Hotham"/>
          <w:b/>
          <w:bCs/>
          <w:sz w:val="18"/>
          <w:szCs w:val="18"/>
          <w:rtl/>
        </w:rPr>
        <w:t xml:space="preserve">أما القسم الآخر فتعاورته القنوات والمقاييس. من ذلك قراءة: </w:t>
      </w:r>
      <w:r w:rsidRPr="000E2D97">
        <w:rPr>
          <w:rFonts w:ascii="Simplified Arabic" w:hAnsi="Simplified Arabic" w:cs="DecoType Thuluth"/>
          <w:b/>
          <w:bCs/>
          <w:sz w:val="18"/>
          <w:szCs w:val="18"/>
          <w:rtl/>
        </w:rPr>
        <w:t>{</w:t>
      </w:r>
      <w:r w:rsidRPr="000E2D97">
        <w:rPr>
          <w:rFonts w:ascii="QCF_P146" w:hAnsi="QCF_P146" w:cs="QCF_P146"/>
          <w:b/>
          <w:bCs/>
          <w:sz w:val="18"/>
          <w:szCs w:val="18"/>
          <w:rtl/>
        </w:rPr>
        <w:t>ﭮ ﭯ ﭰ ﭱ ﭲ ﭳ ﭴ</w:t>
      </w:r>
      <w:r w:rsidRPr="000E2D97">
        <w:rPr>
          <w:rFonts w:ascii="QCF_P146" w:hAnsi="QCF_P146" w:cs="DecoType Thuluth"/>
          <w:b/>
          <w:bCs/>
          <w:sz w:val="18"/>
          <w:szCs w:val="18"/>
          <w:rtl/>
        </w:rPr>
        <w:t>}</w:t>
      </w:r>
      <w:r w:rsidRPr="000E2D97">
        <w:rPr>
          <w:rFonts w:ascii="Simplified Arabic" w:hAnsi="Simplified Arabic" w:cs="AL-Hotham"/>
          <w:b/>
          <w:bCs/>
          <w:sz w:val="18"/>
          <w:szCs w:val="18"/>
          <w:rtl/>
        </w:rPr>
        <w:t xml:space="preserve"> [الأنعام: 139] فهذه الآية كانت تُقرأ برفع: </w:t>
      </w:r>
      <w:r w:rsidRPr="000E2D97">
        <w:rPr>
          <w:rFonts w:ascii="Simplified Arabic" w:hAnsi="Simplified Arabic" w:cs="DecoType Thuluth"/>
          <w:b/>
          <w:bCs/>
          <w:sz w:val="18"/>
          <w:szCs w:val="18"/>
          <w:rtl/>
        </w:rPr>
        <w:t>{</w:t>
      </w:r>
      <w:r w:rsidRPr="000E2D97">
        <w:rPr>
          <w:rFonts w:ascii="QCF_P146" w:hAnsi="QCF_P146" w:cs="QCF_P146"/>
          <w:b/>
          <w:bCs/>
          <w:sz w:val="18"/>
          <w:szCs w:val="18"/>
          <w:rtl/>
        </w:rPr>
        <w:t>ﭳ ﭴ</w:t>
      </w:r>
      <w:r w:rsidRPr="000E2D97">
        <w:rPr>
          <w:rFonts w:ascii="QCF_P146" w:hAnsi="QCF_P146" w:cs="DecoType Thuluth"/>
          <w:b/>
          <w:bCs/>
          <w:sz w:val="18"/>
          <w:szCs w:val="18"/>
          <w:rtl/>
        </w:rPr>
        <w:t>}</w:t>
      </w:r>
      <w:r w:rsidRPr="000E2D97">
        <w:rPr>
          <w:rFonts w:ascii="Simplified Arabic" w:hAnsi="Simplified Arabic" w:cs="AL-Hotham"/>
          <w:b/>
          <w:bCs/>
          <w:sz w:val="18"/>
          <w:szCs w:val="18"/>
          <w:rtl/>
        </w:rPr>
        <w:t xml:space="preserve"> ونصبها عن سيبويه، ثم أصبح وجه النصب فيها شاذًّا عند ابن خالويه وابن جني في القرن الرابع، وبقي شاذًّا، وكذا هو الأمر في قوله: </w:t>
      </w:r>
      <w:r w:rsidRPr="000E2D97">
        <w:rPr>
          <w:rFonts w:ascii="Simplified Arabic" w:hAnsi="Simplified Arabic" w:cs="DecoType Thuluth"/>
          <w:b/>
          <w:bCs/>
          <w:sz w:val="18"/>
          <w:szCs w:val="18"/>
          <w:rtl/>
        </w:rPr>
        <w:t>{</w:t>
      </w:r>
      <w:r w:rsidRPr="000E2D97">
        <w:rPr>
          <w:rFonts w:ascii="QCF_P433" w:hAnsi="QCF_P433" w:cs="QCF_P433"/>
          <w:b/>
          <w:bCs/>
          <w:sz w:val="18"/>
          <w:szCs w:val="18"/>
          <w:rtl/>
        </w:rPr>
        <w:t>ﰓ ﰔ ﰕ ﰖ ﰗ ﰘ</w:t>
      </w:r>
      <w:r w:rsidRPr="000E2D97">
        <w:rPr>
          <w:rFonts w:ascii="QCF_P433" w:hAnsi="QCF_P433" w:cs="DecoType Thuluth"/>
          <w:b/>
          <w:bCs/>
          <w:sz w:val="18"/>
          <w:szCs w:val="18"/>
          <w:rtl/>
        </w:rPr>
        <w:t>}</w:t>
      </w:r>
      <w:r w:rsidRPr="000E2D97">
        <w:rPr>
          <w:rFonts w:ascii="Simplified Arabic" w:hAnsi="Simplified Arabic" w:cs="AL-Hotham"/>
          <w:b/>
          <w:bCs/>
          <w:sz w:val="18"/>
          <w:szCs w:val="18"/>
          <w:rtl/>
        </w:rPr>
        <w:t xml:space="preserve"> [سبأ: 48] بنصب "علامَ" ورفعها، فقد كانت هذه الآية تُقرأ بالوجهين في القرن الثاني، فإذا وجه النصب شاذ عند ابن خالويه في القرن الرابع، وشاذ أيضًا حتى نهاية المطاف.</w:t>
      </w:r>
    </w:p>
    <w:p w:rsidR="000E2D97" w:rsidRPr="000E2D97" w:rsidRDefault="000E2D97" w:rsidP="000E2D97">
      <w:pPr>
        <w:spacing w:after="0" w:line="240" w:lineRule="auto"/>
        <w:jc w:val="both"/>
        <w:rPr>
          <w:rFonts w:ascii="Simplified Arabic" w:hAnsi="Simplified Arabic" w:cs="AL-Hotham"/>
          <w:b/>
          <w:bCs/>
          <w:sz w:val="18"/>
          <w:szCs w:val="18"/>
          <w:rtl/>
        </w:rPr>
      </w:pPr>
      <w:r w:rsidRPr="000E2D97">
        <w:rPr>
          <w:rFonts w:ascii="Simplified Arabic" w:hAnsi="Simplified Arabic" w:cs="AL-Hotham"/>
          <w:b/>
          <w:bCs/>
          <w:sz w:val="18"/>
          <w:szCs w:val="18"/>
          <w:rtl/>
        </w:rPr>
        <w:t xml:space="preserve">كما كانت قراءة: "إن الله بما تعلمون محيط" في سورة آل عمران هي: </w:t>
      </w:r>
      <w:r w:rsidRPr="000E2D97">
        <w:rPr>
          <w:rFonts w:ascii="Simplified Arabic" w:hAnsi="Simplified Arabic" w:cs="DecoType Thuluth"/>
          <w:b/>
          <w:bCs/>
          <w:sz w:val="18"/>
          <w:szCs w:val="18"/>
          <w:rtl/>
        </w:rPr>
        <w:t>{</w:t>
      </w:r>
      <w:r w:rsidRPr="000E2D97">
        <w:rPr>
          <w:rFonts w:ascii="QCF_P065" w:hAnsi="QCF_P065" w:cs="QCF_P065"/>
          <w:b/>
          <w:bCs/>
          <w:sz w:val="18"/>
          <w:szCs w:val="18"/>
          <w:rtl/>
        </w:rPr>
        <w:t>ﯱ ﯲ ﯳ ﯴ ﯵ</w:t>
      </w:r>
      <w:r w:rsidRPr="000E2D97">
        <w:rPr>
          <w:rFonts w:ascii="QCF_P065" w:hAnsi="QCF_P065" w:cs="DecoType Thuluth"/>
          <w:b/>
          <w:bCs/>
          <w:sz w:val="18"/>
          <w:szCs w:val="18"/>
          <w:rtl/>
        </w:rPr>
        <w:t>}</w:t>
      </w:r>
      <w:r w:rsidRPr="000E2D97">
        <w:rPr>
          <w:rFonts w:ascii="Simplified Arabic" w:hAnsi="Simplified Arabic" w:cs="AL-Hotham"/>
          <w:b/>
          <w:bCs/>
          <w:sz w:val="18"/>
          <w:szCs w:val="18"/>
          <w:rtl/>
        </w:rPr>
        <w:t xml:space="preserve"> [آل عمران: 120] ولكن قراءة: "إن الله بما تعلمون محيط" هي المختارة عند أبي حاتم في القرن الثالث، فقد شذذها ابن خالويه في القرن الرابع، وبقيت شاذةً.</w:t>
      </w:r>
    </w:p>
    <w:p w:rsidR="000E2D97" w:rsidRPr="000E2D97" w:rsidRDefault="000E2D97" w:rsidP="000E2D97">
      <w:pPr>
        <w:spacing w:after="0" w:line="240" w:lineRule="auto"/>
        <w:jc w:val="both"/>
        <w:rPr>
          <w:rFonts w:ascii="Simplified Arabic" w:hAnsi="Simplified Arabic" w:cs="AL-Hotham"/>
          <w:b/>
          <w:bCs/>
          <w:sz w:val="18"/>
          <w:szCs w:val="18"/>
          <w:rtl/>
        </w:rPr>
      </w:pPr>
      <w:r w:rsidRPr="000E2D97">
        <w:rPr>
          <w:rFonts w:ascii="Simplified Arabic" w:hAnsi="Simplified Arabic" w:cs="AL-Hotham"/>
          <w:b/>
          <w:bCs/>
          <w:sz w:val="18"/>
          <w:szCs w:val="18"/>
          <w:rtl/>
        </w:rPr>
        <w:t xml:space="preserve">وقد ينطوي القرن الواحد على مقياسين يشذذ أحدهما ما يصححه الآخر، ومثال ذلك: </w:t>
      </w:r>
      <w:r w:rsidRPr="000E2D97">
        <w:rPr>
          <w:rFonts w:ascii="Simplified Arabic" w:hAnsi="Simplified Arabic" w:cs="DecoType Thuluth"/>
          <w:b/>
          <w:bCs/>
          <w:sz w:val="18"/>
          <w:szCs w:val="18"/>
          <w:rtl/>
        </w:rPr>
        <w:t>{</w:t>
      </w:r>
      <w:r w:rsidRPr="000E2D97">
        <w:rPr>
          <w:rFonts w:ascii="QCF_P068" w:hAnsi="QCF_P068" w:cs="QCF_P068"/>
          <w:b/>
          <w:bCs/>
          <w:sz w:val="18"/>
          <w:szCs w:val="18"/>
          <w:rtl/>
        </w:rPr>
        <w:t>ﮭ</w:t>
      </w:r>
      <w:r w:rsidRPr="000E2D97">
        <w:rPr>
          <w:rFonts w:ascii="Simplified Arabic" w:hAnsi="Simplified Arabic" w:cs="DecoType Thuluth"/>
          <w:b/>
          <w:bCs/>
          <w:sz w:val="18"/>
          <w:szCs w:val="18"/>
          <w:rtl/>
        </w:rPr>
        <w:t>}</w:t>
      </w:r>
      <w:r w:rsidRPr="000E2D97">
        <w:rPr>
          <w:rFonts w:ascii="Simplified Arabic" w:hAnsi="Simplified Arabic" w:cs="AL-Hotham"/>
          <w:b/>
          <w:bCs/>
          <w:sz w:val="18"/>
          <w:szCs w:val="18"/>
          <w:rtl/>
        </w:rPr>
        <w:t xml:space="preserve"> [آل عمران: 146] التي صححها الطبري، ثم شذذها ابن خالويه. وقراءة: </w:t>
      </w:r>
      <w:r w:rsidRPr="000E2D97">
        <w:rPr>
          <w:rFonts w:ascii="Simplified Arabic" w:hAnsi="Simplified Arabic" w:cs="AL-Hotham"/>
          <w:b/>
          <w:bCs/>
          <w:sz w:val="18"/>
          <w:szCs w:val="18"/>
          <w:rtl/>
        </w:rPr>
        <w:lastRenderedPageBreak/>
        <w:t xml:space="preserve">"وعلى أبصارهم غشاوةً" </w:t>
      </w:r>
      <w:r w:rsidRPr="000E2D97">
        <w:rPr>
          <w:rFonts w:ascii="Simplified Arabic" w:hAnsi="Simplified Arabic" w:cs="AL-Hotham" w:hint="cs"/>
          <w:b/>
          <w:bCs/>
          <w:sz w:val="18"/>
          <w:szCs w:val="18"/>
          <w:rtl/>
        </w:rPr>
        <w:t xml:space="preserve">[البقرة: 7] </w:t>
      </w:r>
      <w:r w:rsidRPr="000E2D97">
        <w:rPr>
          <w:rFonts w:ascii="Simplified Arabic" w:hAnsi="Simplified Arabic" w:cs="AL-Hotham"/>
          <w:b/>
          <w:bCs/>
          <w:sz w:val="18"/>
          <w:szCs w:val="18"/>
          <w:rtl/>
        </w:rPr>
        <w:t>التي صححها ابن مجاهد، وشذذها ابن خالويه. وقراءة: "وما كان صلات</w:t>
      </w:r>
      <w:r w:rsidRPr="000E2D97">
        <w:rPr>
          <w:rFonts w:ascii="Simplified Arabic" w:hAnsi="Simplified Arabic" w:cs="AL-Hotham" w:hint="cs"/>
          <w:b/>
          <w:bCs/>
          <w:sz w:val="18"/>
          <w:szCs w:val="18"/>
          <w:rtl/>
        </w:rPr>
        <w:t>َ</w:t>
      </w:r>
      <w:r w:rsidRPr="000E2D97">
        <w:rPr>
          <w:rFonts w:ascii="Simplified Arabic" w:hAnsi="Simplified Arabic" w:cs="AL-Hotham"/>
          <w:b/>
          <w:bCs/>
          <w:sz w:val="18"/>
          <w:szCs w:val="18"/>
          <w:rtl/>
        </w:rPr>
        <w:t>هم عند البيت إلا مكاءٌ وتصديةٌ" التي صححها ابن مجاهد، وجاءت شاذةً عند ابن جني.</w:t>
      </w:r>
    </w:p>
    <w:p w:rsidR="000E2D97" w:rsidRPr="000E2D97" w:rsidRDefault="000E2D97" w:rsidP="000E2D97">
      <w:pPr>
        <w:spacing w:after="0" w:line="240" w:lineRule="auto"/>
        <w:jc w:val="lowKashida"/>
        <w:rPr>
          <w:rFonts w:ascii="Simplified Arabic" w:hAnsi="Simplified Arabic" w:cs="AL-Hotham"/>
          <w:b/>
          <w:bCs/>
          <w:sz w:val="18"/>
          <w:szCs w:val="18"/>
          <w:rtl/>
        </w:rPr>
      </w:pPr>
      <w:r w:rsidRPr="000E2D97">
        <w:rPr>
          <w:rFonts w:ascii="Simplified Arabic" w:hAnsi="Simplified Arabic" w:cs="AL-Hotham"/>
          <w:b/>
          <w:bCs/>
          <w:sz w:val="18"/>
          <w:szCs w:val="18"/>
          <w:rtl/>
        </w:rPr>
        <w:t>أو قد تكون القراءة شاذةً ثم يصححها مقياس آخر، وهذا المذهب طاغٍ عند مكي بن أبي طالب القيسي، الذي أوسع بطائفة كبيرة من الشواذ بفعل اقتصاره على صحة السند في نقلها، ولكنه لم يطبق ذلك.</w:t>
      </w:r>
    </w:p>
    <w:p w:rsidR="000E2D97" w:rsidRPr="000E2D97" w:rsidRDefault="000E2D97" w:rsidP="000E2D97">
      <w:pPr>
        <w:spacing w:after="0" w:line="240" w:lineRule="auto"/>
        <w:jc w:val="lowKashida"/>
        <w:rPr>
          <w:rFonts w:ascii="Simplified Arabic" w:hAnsi="Simplified Arabic" w:cs="AL-Hotham"/>
          <w:b/>
          <w:bCs/>
          <w:sz w:val="18"/>
          <w:szCs w:val="18"/>
          <w:rtl/>
        </w:rPr>
      </w:pPr>
      <w:r w:rsidRPr="000E2D97">
        <w:rPr>
          <w:rFonts w:ascii="Simplified Arabic" w:hAnsi="Simplified Arabic" w:cs="AL-Hotham"/>
          <w:b/>
          <w:bCs/>
          <w:sz w:val="18"/>
          <w:szCs w:val="18"/>
          <w:rtl/>
        </w:rPr>
        <w:t>لقد تعددت قنوات الشذوذ، واختلفت حتى القرن الرابع، كما تعددت مستويات الصحيح في الجانب الآخر تمامًا، ولكن هذا التعدد طبيعي في عِلم عمدتُه النقل والسندُ، وعدتُه صدورُ الرجال واجتهاداتهم، ولم يكن لنا الكشف عن طرائق التشذيذ فيه إلا بمقابلة قراءات الكتب القديمة والمتأخرة التي عنيت بالصحيح والشاذ بعضها ببعض، فقد تجد المقياس، ولا تجد التطبيق عليه، وقد تقف على التطبيق من دون المقياس؛ وذلك لضياع أغلب الكتب، أو فقدان بعض أجزائها، فتلك المقابلات هي التي أسفرت عن خط بيان الفن، وهي التي أسفرت أيضًا عن تاريخ المصطلح.</w:t>
      </w:r>
    </w:p>
    <w:p w:rsidR="000E2D97" w:rsidRPr="000E2D97" w:rsidRDefault="000E2D97" w:rsidP="000E2D97">
      <w:pPr>
        <w:spacing w:after="0" w:line="240" w:lineRule="auto"/>
        <w:jc w:val="lowKashida"/>
        <w:rPr>
          <w:rFonts w:ascii="Simplified Arabic" w:hAnsi="Simplified Arabic" w:cs="AL-Hotham"/>
          <w:b/>
          <w:bCs/>
          <w:sz w:val="18"/>
          <w:szCs w:val="18"/>
          <w:rtl/>
        </w:rPr>
      </w:pPr>
      <w:r w:rsidRPr="000E2D97">
        <w:rPr>
          <w:rFonts w:ascii="Simplified Arabic" w:hAnsi="Simplified Arabic" w:cs="AL-Hotham"/>
          <w:b/>
          <w:bCs/>
          <w:sz w:val="18"/>
          <w:szCs w:val="18"/>
          <w:rtl/>
        </w:rPr>
        <w:t>وليس يدعي البحث ههنا البراءة من المناهج اللاحقة أو الكتب المتأخرة التي صُنِّفت في الصحيح والشاذ عندما أقبل على تتبع حركة الشذوذ قبله، بل أقبل يعِي تلك الجهود الطبية، ولكن همه لم ينصرف لحظةً عن النصوص القديمة التي هدتْه إلى مستوى القراءات أولًا وأخيرًا.</w:t>
      </w:r>
    </w:p>
    <w:p w:rsidR="000E2D97" w:rsidRPr="000E2D97" w:rsidRDefault="000E2D97" w:rsidP="000E2D97">
      <w:pPr>
        <w:pStyle w:val="NormalWeb"/>
        <w:bidi/>
        <w:spacing w:before="0" w:beforeAutospacing="0" w:after="0" w:afterAutospacing="0"/>
        <w:jc w:val="center"/>
        <w:rPr>
          <w:rFonts w:ascii="Simplified Arabic" w:hAnsi="Simplified Arabic" w:cs="AL-Hotham" w:hint="cs"/>
          <w:b/>
          <w:bCs/>
          <w:sz w:val="18"/>
          <w:szCs w:val="18"/>
          <w:rtl/>
          <w:lang w:bidi="ar-EG"/>
        </w:rPr>
      </w:pPr>
    </w:p>
    <w:p w:rsidR="000E2D97" w:rsidRPr="000E2D97" w:rsidRDefault="000E2D97" w:rsidP="000E2D97">
      <w:pPr>
        <w:spacing w:after="0" w:line="240" w:lineRule="auto"/>
        <w:jc w:val="lowKashida"/>
        <w:rPr>
          <w:rFonts w:asciiTheme="majorBidi" w:hAnsiTheme="majorBidi" w:cstheme="majorBidi" w:hint="cs"/>
          <w:b/>
          <w:bCs/>
          <w:sz w:val="18"/>
          <w:szCs w:val="18"/>
        </w:rPr>
      </w:pPr>
      <w:r w:rsidRPr="000E2D97">
        <w:rPr>
          <w:rFonts w:asciiTheme="majorBidi" w:hAnsiTheme="majorBidi" w:cstheme="majorBidi" w:hint="cs"/>
          <w:b/>
          <w:bCs/>
          <w:sz w:val="18"/>
          <w:szCs w:val="18"/>
          <w:rtl/>
        </w:rPr>
        <w:t>المراجع والمصادر</w:t>
      </w:r>
    </w:p>
    <w:p w:rsidR="000E2D97" w:rsidRPr="000E2D97" w:rsidRDefault="000E2D97" w:rsidP="000E2D97">
      <w:pPr>
        <w:numPr>
          <w:ilvl w:val="0"/>
          <w:numId w:val="1"/>
        </w:numPr>
        <w:spacing w:after="0" w:line="240" w:lineRule="auto"/>
        <w:jc w:val="lowKashida"/>
        <w:rPr>
          <w:rFonts w:asciiTheme="majorBidi" w:hAnsiTheme="majorBidi" w:cstheme="majorBidi"/>
          <w:b/>
          <w:bCs/>
          <w:sz w:val="18"/>
          <w:szCs w:val="18"/>
        </w:rPr>
      </w:pPr>
      <w:r w:rsidRPr="000E2D97">
        <w:rPr>
          <w:rFonts w:asciiTheme="majorBidi" w:hAnsiTheme="majorBidi" w:cstheme="majorBidi"/>
          <w:b/>
          <w:bCs/>
          <w:sz w:val="18"/>
          <w:szCs w:val="18"/>
          <w:rtl/>
        </w:rPr>
        <w:t xml:space="preserve">(المحتسب في تبيين وجوه شواذ القراءات والإيضاح عنها) </w:t>
      </w:r>
    </w:p>
    <w:p w:rsidR="000E2D97" w:rsidRPr="000E2D97" w:rsidRDefault="000E2D97" w:rsidP="000E2D97">
      <w:pPr>
        <w:spacing w:after="0" w:line="240" w:lineRule="auto"/>
        <w:ind w:left="463"/>
        <w:jc w:val="lowKashida"/>
        <w:rPr>
          <w:rFonts w:asciiTheme="majorBidi" w:hAnsiTheme="majorBidi" w:cstheme="majorBidi"/>
          <w:b/>
          <w:bCs/>
          <w:sz w:val="18"/>
          <w:szCs w:val="18"/>
        </w:rPr>
      </w:pPr>
      <w:r w:rsidRPr="000E2D97">
        <w:rPr>
          <w:rFonts w:asciiTheme="majorBidi" w:hAnsiTheme="majorBidi" w:cstheme="majorBidi"/>
          <w:b/>
          <w:bCs/>
          <w:sz w:val="18"/>
          <w:szCs w:val="18"/>
          <w:rtl/>
        </w:rPr>
        <w:t>أبو الفتح عثمان بن جني،  بتحقيق علي النجدي ناصف وزميليه، القاهرة، طبعة المجلس الأعلى للشئون الإسلامية، 1994م</w:t>
      </w:r>
    </w:p>
    <w:p w:rsidR="000E2D97" w:rsidRPr="000E2D97" w:rsidRDefault="000E2D97" w:rsidP="000E2D97">
      <w:pPr>
        <w:numPr>
          <w:ilvl w:val="0"/>
          <w:numId w:val="1"/>
        </w:numPr>
        <w:spacing w:after="0" w:line="240" w:lineRule="auto"/>
        <w:jc w:val="lowKashida"/>
        <w:rPr>
          <w:rFonts w:asciiTheme="majorBidi" w:hAnsiTheme="majorBidi" w:cstheme="majorBidi"/>
          <w:b/>
          <w:bCs/>
          <w:sz w:val="18"/>
          <w:szCs w:val="18"/>
        </w:rPr>
      </w:pPr>
      <w:r w:rsidRPr="000E2D97">
        <w:rPr>
          <w:rFonts w:asciiTheme="majorBidi" w:hAnsiTheme="majorBidi" w:cstheme="majorBidi"/>
          <w:b/>
          <w:bCs/>
          <w:sz w:val="18"/>
          <w:szCs w:val="18"/>
          <w:rtl/>
        </w:rPr>
        <w:t xml:space="preserve">(مرشد الأعزة في بيان موقف العلماء من القراءات الشاذة) </w:t>
      </w:r>
    </w:p>
    <w:p w:rsidR="000E2D97" w:rsidRPr="000E2D97" w:rsidRDefault="000E2D97" w:rsidP="000E2D97">
      <w:pPr>
        <w:spacing w:after="0" w:line="240" w:lineRule="auto"/>
        <w:ind w:left="284" w:firstLine="283"/>
        <w:jc w:val="lowKashida"/>
        <w:rPr>
          <w:rFonts w:asciiTheme="majorBidi" w:hAnsiTheme="majorBidi" w:cstheme="majorBidi"/>
          <w:b/>
          <w:bCs/>
          <w:sz w:val="18"/>
          <w:szCs w:val="18"/>
        </w:rPr>
      </w:pPr>
      <w:r w:rsidRPr="000E2D97">
        <w:rPr>
          <w:rFonts w:asciiTheme="majorBidi" w:hAnsiTheme="majorBidi" w:cstheme="majorBidi"/>
          <w:b/>
          <w:bCs/>
          <w:sz w:val="18"/>
          <w:szCs w:val="18"/>
          <w:rtl/>
        </w:rPr>
        <w:t>عبد الكريم إبراهيم صالح،  دار المحدثين, 2006م</w:t>
      </w:r>
    </w:p>
    <w:p w:rsidR="000E2D97" w:rsidRPr="000E2D97" w:rsidRDefault="000E2D97" w:rsidP="000E2D97">
      <w:pPr>
        <w:numPr>
          <w:ilvl w:val="0"/>
          <w:numId w:val="1"/>
        </w:numPr>
        <w:spacing w:after="0" w:line="240" w:lineRule="auto"/>
        <w:jc w:val="lowKashida"/>
        <w:rPr>
          <w:rFonts w:asciiTheme="majorBidi" w:hAnsiTheme="majorBidi" w:cstheme="majorBidi"/>
          <w:b/>
          <w:bCs/>
          <w:sz w:val="18"/>
          <w:szCs w:val="18"/>
        </w:rPr>
      </w:pPr>
      <w:r w:rsidRPr="000E2D97">
        <w:rPr>
          <w:rFonts w:asciiTheme="majorBidi" w:hAnsiTheme="majorBidi" w:cstheme="majorBidi"/>
          <w:b/>
          <w:bCs/>
          <w:sz w:val="18"/>
          <w:szCs w:val="18"/>
        </w:rPr>
        <w:t>)</w:t>
      </w:r>
      <w:r w:rsidRPr="000E2D97">
        <w:rPr>
          <w:rFonts w:asciiTheme="majorBidi" w:hAnsiTheme="majorBidi" w:cstheme="majorBidi"/>
          <w:b/>
          <w:bCs/>
          <w:sz w:val="18"/>
          <w:szCs w:val="18"/>
          <w:rtl/>
        </w:rPr>
        <w:t xml:space="preserve">إعراب القراءات الشواذ) </w:t>
      </w:r>
    </w:p>
    <w:p w:rsidR="000E2D97" w:rsidRPr="000E2D97" w:rsidRDefault="000E2D97" w:rsidP="000E2D97">
      <w:pPr>
        <w:spacing w:after="0" w:line="240" w:lineRule="auto"/>
        <w:ind w:left="567"/>
        <w:jc w:val="lowKashida"/>
        <w:rPr>
          <w:rFonts w:asciiTheme="majorBidi" w:hAnsiTheme="majorBidi" w:cstheme="majorBidi"/>
          <w:b/>
          <w:bCs/>
          <w:sz w:val="18"/>
          <w:szCs w:val="18"/>
        </w:rPr>
      </w:pPr>
      <w:r w:rsidRPr="000E2D97">
        <w:rPr>
          <w:rFonts w:asciiTheme="majorBidi" w:hAnsiTheme="majorBidi" w:cstheme="majorBidi"/>
          <w:b/>
          <w:bCs/>
          <w:sz w:val="18"/>
          <w:szCs w:val="18"/>
          <w:rtl/>
        </w:rPr>
        <w:t>أبو البقاء العكبري،  بتحقيق محمد السيد أحمد عزوز،  عالم الكتب, 1996م</w:t>
      </w:r>
    </w:p>
    <w:p w:rsidR="000E2D97" w:rsidRPr="000E2D97" w:rsidRDefault="000E2D97" w:rsidP="000E2D97">
      <w:pPr>
        <w:numPr>
          <w:ilvl w:val="0"/>
          <w:numId w:val="1"/>
        </w:numPr>
        <w:spacing w:after="0" w:line="240" w:lineRule="auto"/>
        <w:jc w:val="lowKashida"/>
        <w:rPr>
          <w:rFonts w:asciiTheme="majorBidi" w:hAnsiTheme="majorBidi" w:cstheme="majorBidi"/>
          <w:b/>
          <w:bCs/>
          <w:sz w:val="18"/>
          <w:szCs w:val="18"/>
        </w:rPr>
      </w:pPr>
      <w:r w:rsidRPr="000E2D97">
        <w:rPr>
          <w:rFonts w:asciiTheme="majorBidi" w:hAnsiTheme="majorBidi" w:cstheme="majorBidi"/>
          <w:b/>
          <w:bCs/>
          <w:sz w:val="18"/>
          <w:szCs w:val="18"/>
          <w:rtl/>
        </w:rPr>
        <w:t xml:space="preserve">(الاختلاف بين القراءات) </w:t>
      </w:r>
    </w:p>
    <w:p w:rsidR="000E2D97" w:rsidRPr="000E2D97" w:rsidRDefault="000E2D97" w:rsidP="000E2D97">
      <w:pPr>
        <w:spacing w:after="0" w:line="240" w:lineRule="auto"/>
        <w:ind w:left="284" w:firstLine="283"/>
        <w:jc w:val="lowKashida"/>
        <w:rPr>
          <w:rFonts w:asciiTheme="majorBidi" w:hAnsiTheme="majorBidi" w:cstheme="majorBidi"/>
          <w:b/>
          <w:bCs/>
          <w:sz w:val="18"/>
          <w:szCs w:val="18"/>
        </w:rPr>
      </w:pPr>
      <w:r w:rsidRPr="000E2D97">
        <w:rPr>
          <w:rFonts w:asciiTheme="majorBidi" w:hAnsiTheme="majorBidi" w:cstheme="majorBidi"/>
          <w:b/>
          <w:bCs/>
          <w:sz w:val="18"/>
          <w:szCs w:val="18"/>
          <w:rtl/>
        </w:rPr>
        <w:t>أحمد البيلي،  بيروت، دار الجبل، 1988م</w:t>
      </w:r>
    </w:p>
    <w:p w:rsidR="000E2D97" w:rsidRPr="000E2D97" w:rsidRDefault="000E2D97" w:rsidP="000E2D97">
      <w:pPr>
        <w:numPr>
          <w:ilvl w:val="0"/>
          <w:numId w:val="1"/>
        </w:numPr>
        <w:spacing w:after="0" w:line="240" w:lineRule="auto"/>
        <w:jc w:val="lowKashida"/>
        <w:rPr>
          <w:rFonts w:asciiTheme="majorBidi" w:hAnsiTheme="majorBidi" w:cstheme="majorBidi"/>
          <w:b/>
          <w:bCs/>
          <w:sz w:val="18"/>
          <w:szCs w:val="18"/>
        </w:rPr>
      </w:pPr>
      <w:r w:rsidRPr="000E2D97">
        <w:rPr>
          <w:rFonts w:asciiTheme="majorBidi" w:hAnsiTheme="majorBidi" w:cstheme="majorBidi"/>
          <w:b/>
          <w:bCs/>
          <w:sz w:val="18"/>
          <w:szCs w:val="18"/>
          <w:rtl/>
        </w:rPr>
        <w:t xml:space="preserve">(القراءات الشاذة وتوجيهها النحوي) </w:t>
      </w:r>
    </w:p>
    <w:p w:rsidR="000E2D97" w:rsidRPr="000E2D97" w:rsidRDefault="000E2D97" w:rsidP="000E2D97">
      <w:pPr>
        <w:spacing w:after="0" w:line="240" w:lineRule="auto"/>
        <w:ind w:left="284" w:firstLine="283"/>
        <w:jc w:val="lowKashida"/>
        <w:rPr>
          <w:rFonts w:asciiTheme="majorBidi" w:hAnsiTheme="majorBidi" w:cstheme="majorBidi"/>
          <w:b/>
          <w:bCs/>
          <w:sz w:val="18"/>
          <w:szCs w:val="18"/>
        </w:rPr>
      </w:pPr>
      <w:r w:rsidRPr="000E2D97">
        <w:rPr>
          <w:rFonts w:asciiTheme="majorBidi" w:hAnsiTheme="majorBidi" w:cstheme="majorBidi"/>
          <w:b/>
          <w:bCs/>
          <w:sz w:val="18"/>
          <w:szCs w:val="18"/>
          <w:rtl/>
        </w:rPr>
        <w:t>محمود أحمد الصغير، بيروت، دار الفكر المعاصر, 1999م</w:t>
      </w:r>
    </w:p>
    <w:p w:rsidR="000E2D97" w:rsidRPr="000E2D97" w:rsidRDefault="000E2D97" w:rsidP="000E2D97">
      <w:pPr>
        <w:numPr>
          <w:ilvl w:val="0"/>
          <w:numId w:val="1"/>
        </w:numPr>
        <w:spacing w:after="0" w:line="240" w:lineRule="auto"/>
        <w:jc w:val="lowKashida"/>
        <w:rPr>
          <w:rFonts w:asciiTheme="majorBidi" w:hAnsiTheme="majorBidi" w:cstheme="majorBidi"/>
          <w:b/>
          <w:bCs/>
          <w:sz w:val="18"/>
          <w:szCs w:val="18"/>
        </w:rPr>
      </w:pPr>
      <w:r w:rsidRPr="000E2D97">
        <w:rPr>
          <w:rFonts w:asciiTheme="majorBidi" w:hAnsiTheme="majorBidi" w:cstheme="majorBidi"/>
          <w:b/>
          <w:bCs/>
          <w:sz w:val="18"/>
          <w:szCs w:val="18"/>
          <w:rtl/>
        </w:rPr>
        <w:t xml:space="preserve">(كتاب المصاحف) </w:t>
      </w:r>
    </w:p>
    <w:p w:rsidR="000E2D97" w:rsidRPr="000E2D97" w:rsidRDefault="000E2D97" w:rsidP="000E2D97">
      <w:pPr>
        <w:spacing w:after="0" w:line="240" w:lineRule="auto"/>
        <w:ind w:left="567"/>
        <w:jc w:val="lowKashida"/>
        <w:rPr>
          <w:rFonts w:asciiTheme="majorBidi" w:hAnsiTheme="majorBidi" w:cstheme="majorBidi"/>
          <w:b/>
          <w:bCs/>
          <w:sz w:val="18"/>
          <w:szCs w:val="18"/>
        </w:rPr>
      </w:pPr>
      <w:r w:rsidRPr="000E2D97">
        <w:rPr>
          <w:rFonts w:asciiTheme="majorBidi" w:hAnsiTheme="majorBidi" w:cstheme="majorBidi"/>
          <w:b/>
          <w:bCs/>
          <w:sz w:val="18"/>
          <w:szCs w:val="18"/>
          <w:rtl/>
        </w:rPr>
        <w:t>أبو بكر عبد الله بن أبي داود سليمان بن الأشعث السجستاني، بيروت، دار الكتب العلمية, 1985م</w:t>
      </w:r>
    </w:p>
    <w:p w:rsidR="000E2D97" w:rsidRPr="000E2D97" w:rsidRDefault="000E2D97" w:rsidP="000E2D97">
      <w:pPr>
        <w:numPr>
          <w:ilvl w:val="0"/>
          <w:numId w:val="1"/>
        </w:numPr>
        <w:spacing w:after="0" w:line="240" w:lineRule="auto"/>
        <w:jc w:val="lowKashida"/>
        <w:rPr>
          <w:rFonts w:asciiTheme="majorBidi" w:hAnsiTheme="majorBidi" w:cstheme="majorBidi"/>
          <w:b/>
          <w:bCs/>
          <w:sz w:val="18"/>
          <w:szCs w:val="18"/>
        </w:rPr>
      </w:pPr>
      <w:r w:rsidRPr="000E2D97">
        <w:rPr>
          <w:rFonts w:asciiTheme="majorBidi" w:hAnsiTheme="majorBidi" w:cstheme="majorBidi"/>
          <w:b/>
          <w:bCs/>
          <w:sz w:val="18"/>
          <w:szCs w:val="18"/>
          <w:rtl/>
        </w:rPr>
        <w:t xml:space="preserve">(مختصر في شواذ القران من كتاب البديع أو القراءات الشاذة) </w:t>
      </w:r>
    </w:p>
    <w:p w:rsidR="000E2D97" w:rsidRPr="000E2D97" w:rsidRDefault="000E2D97" w:rsidP="000E2D97">
      <w:pPr>
        <w:spacing w:after="0" w:line="240" w:lineRule="auto"/>
        <w:ind w:left="284" w:firstLine="283"/>
        <w:jc w:val="lowKashida"/>
        <w:rPr>
          <w:rFonts w:asciiTheme="majorBidi" w:hAnsiTheme="majorBidi" w:cstheme="majorBidi"/>
          <w:b/>
          <w:bCs/>
          <w:sz w:val="18"/>
          <w:szCs w:val="18"/>
        </w:rPr>
      </w:pPr>
      <w:r w:rsidRPr="000E2D97">
        <w:rPr>
          <w:rFonts w:asciiTheme="majorBidi" w:hAnsiTheme="majorBidi" w:cstheme="majorBidi"/>
          <w:b/>
          <w:bCs/>
          <w:sz w:val="18"/>
          <w:szCs w:val="18"/>
          <w:rtl/>
        </w:rPr>
        <w:t>الحسين بن احمد ابن خالويه، دار الهجرة،  1934م</w:t>
      </w:r>
    </w:p>
    <w:p w:rsidR="000E2D97" w:rsidRPr="000E2D97" w:rsidRDefault="000E2D97" w:rsidP="000E2D97">
      <w:pPr>
        <w:numPr>
          <w:ilvl w:val="0"/>
          <w:numId w:val="1"/>
        </w:numPr>
        <w:spacing w:after="0" w:line="240" w:lineRule="auto"/>
        <w:jc w:val="lowKashida"/>
        <w:rPr>
          <w:rFonts w:asciiTheme="majorBidi" w:hAnsiTheme="majorBidi" w:cstheme="majorBidi"/>
          <w:b/>
          <w:bCs/>
          <w:sz w:val="18"/>
          <w:szCs w:val="18"/>
        </w:rPr>
      </w:pPr>
      <w:r w:rsidRPr="000E2D97">
        <w:rPr>
          <w:rFonts w:asciiTheme="majorBidi" w:hAnsiTheme="majorBidi" w:cstheme="majorBidi"/>
          <w:b/>
          <w:bCs/>
          <w:sz w:val="18"/>
          <w:szCs w:val="18"/>
          <w:rtl/>
        </w:rPr>
        <w:t xml:space="preserve">(القراءات القرآنية في بلاد الشام) </w:t>
      </w:r>
    </w:p>
    <w:p w:rsidR="000E2D97" w:rsidRPr="000E2D97" w:rsidRDefault="000E2D97" w:rsidP="000E2D97">
      <w:pPr>
        <w:spacing w:after="0" w:line="240" w:lineRule="auto"/>
        <w:ind w:left="284" w:firstLine="283"/>
        <w:jc w:val="lowKashida"/>
        <w:rPr>
          <w:rFonts w:asciiTheme="majorBidi" w:hAnsiTheme="majorBidi" w:cstheme="majorBidi"/>
          <w:b/>
          <w:bCs/>
          <w:sz w:val="18"/>
          <w:szCs w:val="18"/>
        </w:rPr>
      </w:pPr>
      <w:r w:rsidRPr="000E2D97">
        <w:rPr>
          <w:rFonts w:asciiTheme="majorBidi" w:hAnsiTheme="majorBidi" w:cstheme="majorBidi"/>
          <w:b/>
          <w:bCs/>
          <w:sz w:val="18"/>
          <w:szCs w:val="18"/>
          <w:rtl/>
        </w:rPr>
        <w:t>حسين عطوان، بيروت، دار الجيل, 1982م</w:t>
      </w:r>
    </w:p>
    <w:p w:rsidR="000E2D97" w:rsidRPr="000E2D97" w:rsidRDefault="000E2D97" w:rsidP="000E2D97">
      <w:pPr>
        <w:numPr>
          <w:ilvl w:val="0"/>
          <w:numId w:val="1"/>
        </w:numPr>
        <w:spacing w:after="0" w:line="240" w:lineRule="auto"/>
        <w:jc w:val="lowKashida"/>
        <w:rPr>
          <w:rFonts w:asciiTheme="majorBidi" w:hAnsiTheme="majorBidi" w:cstheme="majorBidi"/>
          <w:b/>
          <w:bCs/>
          <w:sz w:val="18"/>
          <w:szCs w:val="18"/>
        </w:rPr>
      </w:pPr>
      <w:r w:rsidRPr="000E2D97">
        <w:rPr>
          <w:rFonts w:asciiTheme="majorBidi" w:hAnsiTheme="majorBidi" w:cstheme="majorBidi"/>
          <w:b/>
          <w:bCs/>
          <w:sz w:val="18"/>
          <w:szCs w:val="18"/>
          <w:rtl/>
        </w:rPr>
        <w:t xml:space="preserve">(القراءات الشاذة وتوجيهها من لغة العرب) </w:t>
      </w:r>
    </w:p>
    <w:p w:rsidR="000E2D97" w:rsidRPr="000E2D97" w:rsidRDefault="000E2D97" w:rsidP="000E2D97">
      <w:pPr>
        <w:spacing w:after="0" w:line="240" w:lineRule="auto"/>
        <w:ind w:left="284" w:firstLine="283"/>
        <w:jc w:val="lowKashida"/>
        <w:rPr>
          <w:rFonts w:asciiTheme="majorBidi" w:hAnsiTheme="majorBidi" w:cstheme="majorBidi"/>
          <w:b/>
          <w:bCs/>
          <w:sz w:val="18"/>
          <w:szCs w:val="18"/>
        </w:rPr>
      </w:pPr>
      <w:r w:rsidRPr="000E2D97">
        <w:rPr>
          <w:rFonts w:asciiTheme="majorBidi" w:hAnsiTheme="majorBidi" w:cstheme="majorBidi"/>
          <w:b/>
          <w:bCs/>
          <w:sz w:val="18"/>
          <w:szCs w:val="18"/>
          <w:rtl/>
        </w:rPr>
        <w:t>عبد الفتاح القاضي، الهيئة العامة لشئون المطابع الأميرية، 1975م</w:t>
      </w:r>
    </w:p>
    <w:p w:rsidR="000E2D97" w:rsidRPr="000E2D97" w:rsidRDefault="000E2D97" w:rsidP="000E2D97">
      <w:pPr>
        <w:numPr>
          <w:ilvl w:val="0"/>
          <w:numId w:val="1"/>
        </w:numPr>
        <w:spacing w:after="0" w:line="240" w:lineRule="auto"/>
        <w:jc w:val="lowKashida"/>
        <w:rPr>
          <w:rFonts w:asciiTheme="majorBidi" w:hAnsiTheme="majorBidi" w:cstheme="majorBidi"/>
          <w:b/>
          <w:bCs/>
          <w:sz w:val="18"/>
          <w:szCs w:val="18"/>
        </w:rPr>
      </w:pPr>
      <w:r w:rsidRPr="000E2D97">
        <w:rPr>
          <w:rFonts w:asciiTheme="majorBidi" w:hAnsiTheme="majorBidi" w:cstheme="majorBidi"/>
          <w:b/>
          <w:bCs/>
          <w:sz w:val="18"/>
          <w:szCs w:val="18"/>
          <w:rtl/>
        </w:rPr>
        <w:t xml:space="preserve">(اليزيدي القارئ النحوي دراسة نحوية قرآنية) </w:t>
      </w:r>
    </w:p>
    <w:p w:rsidR="000E2D97" w:rsidRPr="000E2D97" w:rsidRDefault="000E2D97" w:rsidP="000E2D97">
      <w:pPr>
        <w:spacing w:after="0" w:line="240" w:lineRule="auto"/>
        <w:ind w:left="284" w:firstLine="283"/>
        <w:jc w:val="lowKashida"/>
        <w:rPr>
          <w:rFonts w:asciiTheme="majorBidi" w:hAnsiTheme="majorBidi" w:cstheme="majorBidi"/>
          <w:b/>
          <w:bCs/>
          <w:sz w:val="18"/>
          <w:szCs w:val="18"/>
        </w:rPr>
      </w:pPr>
      <w:r w:rsidRPr="000E2D97">
        <w:rPr>
          <w:rFonts w:asciiTheme="majorBidi" w:hAnsiTheme="majorBidi" w:cstheme="majorBidi"/>
          <w:b/>
          <w:bCs/>
          <w:sz w:val="18"/>
          <w:szCs w:val="18"/>
          <w:rtl/>
        </w:rPr>
        <w:t>محمد أحمد علي سحلول ،  دار الحسين الإسلامية, 1989م.</w:t>
      </w:r>
    </w:p>
    <w:p w:rsidR="000E2D97" w:rsidRPr="000E2D97" w:rsidRDefault="000E2D97" w:rsidP="000E2D97">
      <w:pPr>
        <w:numPr>
          <w:ilvl w:val="0"/>
          <w:numId w:val="1"/>
        </w:numPr>
        <w:spacing w:after="0" w:line="240" w:lineRule="auto"/>
        <w:jc w:val="lowKashida"/>
        <w:rPr>
          <w:rFonts w:asciiTheme="majorBidi" w:hAnsiTheme="majorBidi" w:cstheme="majorBidi"/>
          <w:b/>
          <w:bCs/>
          <w:sz w:val="18"/>
          <w:szCs w:val="18"/>
        </w:rPr>
      </w:pPr>
      <w:r w:rsidRPr="000E2D97">
        <w:rPr>
          <w:rFonts w:asciiTheme="majorBidi" w:hAnsiTheme="majorBidi" w:cstheme="majorBidi"/>
          <w:b/>
          <w:bCs/>
          <w:sz w:val="18"/>
          <w:szCs w:val="18"/>
          <w:rtl/>
        </w:rPr>
        <w:t xml:space="preserve">(شواهد القراءات بين ابن هشام وابن عقيل، دراسة نحوية تحليلية) </w:t>
      </w:r>
    </w:p>
    <w:p w:rsidR="000E2D97" w:rsidRPr="000E2D97" w:rsidRDefault="000E2D97" w:rsidP="000E2D97">
      <w:pPr>
        <w:spacing w:after="0" w:line="240" w:lineRule="auto"/>
        <w:ind w:left="284" w:firstLine="436"/>
        <w:jc w:val="lowKashida"/>
        <w:rPr>
          <w:rFonts w:asciiTheme="majorBidi" w:hAnsiTheme="majorBidi" w:cstheme="majorBidi"/>
          <w:b/>
          <w:bCs/>
          <w:sz w:val="18"/>
          <w:szCs w:val="18"/>
        </w:rPr>
      </w:pPr>
      <w:r w:rsidRPr="000E2D97">
        <w:rPr>
          <w:rFonts w:asciiTheme="majorBidi" w:hAnsiTheme="majorBidi" w:cstheme="majorBidi"/>
          <w:b/>
          <w:bCs/>
          <w:sz w:val="18"/>
          <w:szCs w:val="18"/>
          <w:rtl/>
        </w:rPr>
        <w:t>محمد أحمد علي سحلول،  دار الطباعة المحمدية, 1993م</w:t>
      </w:r>
    </w:p>
    <w:p w:rsidR="000E2D97" w:rsidRPr="000E2D97" w:rsidRDefault="000E2D97" w:rsidP="000E2D97">
      <w:pPr>
        <w:numPr>
          <w:ilvl w:val="0"/>
          <w:numId w:val="1"/>
        </w:numPr>
        <w:spacing w:after="0" w:line="240" w:lineRule="auto"/>
        <w:jc w:val="lowKashida"/>
        <w:rPr>
          <w:rFonts w:asciiTheme="majorBidi" w:hAnsiTheme="majorBidi" w:cstheme="majorBidi"/>
          <w:b/>
          <w:bCs/>
          <w:sz w:val="18"/>
          <w:szCs w:val="18"/>
        </w:rPr>
      </w:pPr>
      <w:r w:rsidRPr="000E2D97">
        <w:rPr>
          <w:rFonts w:asciiTheme="majorBidi" w:hAnsiTheme="majorBidi" w:cstheme="majorBidi"/>
          <w:b/>
          <w:bCs/>
          <w:sz w:val="18"/>
          <w:szCs w:val="18"/>
          <w:rtl/>
        </w:rPr>
        <w:t xml:space="preserve">(قراءة أبي السمال العدوي) </w:t>
      </w:r>
    </w:p>
    <w:p w:rsidR="000E2D97" w:rsidRPr="000E2D97" w:rsidRDefault="000E2D97" w:rsidP="000E2D97">
      <w:pPr>
        <w:spacing w:after="0" w:line="240" w:lineRule="auto"/>
        <w:ind w:left="284" w:firstLine="436"/>
        <w:jc w:val="lowKashida"/>
        <w:rPr>
          <w:rFonts w:asciiTheme="majorBidi" w:hAnsiTheme="majorBidi" w:cstheme="majorBidi"/>
          <w:b/>
          <w:bCs/>
          <w:sz w:val="18"/>
          <w:szCs w:val="18"/>
        </w:rPr>
      </w:pPr>
      <w:r w:rsidRPr="000E2D97">
        <w:rPr>
          <w:rFonts w:asciiTheme="majorBidi" w:hAnsiTheme="majorBidi" w:cstheme="majorBidi"/>
          <w:b/>
          <w:bCs/>
          <w:sz w:val="18"/>
          <w:szCs w:val="18"/>
          <w:rtl/>
        </w:rPr>
        <w:t>حمدي عبد الفتاح مصطفى خليل، الجريس، القاهرة, 2000م</w:t>
      </w:r>
    </w:p>
    <w:p w:rsidR="000E2D97" w:rsidRPr="000E2D97" w:rsidRDefault="000E2D97" w:rsidP="000E2D97">
      <w:pPr>
        <w:numPr>
          <w:ilvl w:val="0"/>
          <w:numId w:val="1"/>
        </w:numPr>
        <w:spacing w:after="0" w:line="240" w:lineRule="auto"/>
        <w:jc w:val="lowKashida"/>
        <w:rPr>
          <w:rFonts w:asciiTheme="majorBidi" w:hAnsiTheme="majorBidi" w:cstheme="majorBidi"/>
          <w:b/>
          <w:bCs/>
          <w:sz w:val="18"/>
          <w:szCs w:val="18"/>
        </w:rPr>
      </w:pPr>
      <w:r w:rsidRPr="000E2D97">
        <w:rPr>
          <w:rFonts w:asciiTheme="majorBidi" w:hAnsiTheme="majorBidi" w:cstheme="majorBidi"/>
          <w:b/>
          <w:bCs/>
          <w:sz w:val="18"/>
          <w:szCs w:val="18"/>
          <w:rtl/>
        </w:rPr>
        <w:t xml:space="preserve">(قراءة عبد الله بن مسعود مكانتها ومصادرها إحصاؤها) </w:t>
      </w:r>
    </w:p>
    <w:p w:rsidR="000E2D97" w:rsidRPr="000E2D97" w:rsidRDefault="000E2D97" w:rsidP="000E2D97">
      <w:pPr>
        <w:pStyle w:val="NormalWeb"/>
        <w:bidi/>
        <w:spacing w:before="0" w:beforeAutospacing="0" w:after="0" w:afterAutospacing="0"/>
        <w:ind w:left="284" w:firstLine="436"/>
        <w:jc w:val="both"/>
        <w:rPr>
          <w:rFonts w:asciiTheme="majorBidi" w:hAnsiTheme="majorBidi" w:cstheme="majorBidi"/>
          <w:b/>
          <w:bCs/>
          <w:sz w:val="18"/>
          <w:szCs w:val="18"/>
          <w:rtl/>
          <w:lang w:bidi="ar-EG"/>
        </w:rPr>
      </w:pPr>
      <w:r w:rsidRPr="000E2D97">
        <w:rPr>
          <w:rFonts w:asciiTheme="majorBidi" w:hAnsiTheme="majorBidi" w:cstheme="majorBidi"/>
          <w:b/>
          <w:bCs/>
          <w:sz w:val="18"/>
          <w:szCs w:val="18"/>
          <w:rtl/>
          <w:lang w:bidi="ar-EG"/>
        </w:rPr>
        <w:t>محمد أحمد خاطر، دار الاعتصام, 1990م</w:t>
      </w:r>
    </w:p>
    <w:p w:rsidR="000E2D97" w:rsidRPr="000E2D97" w:rsidRDefault="000E2D97" w:rsidP="000E2D97">
      <w:pPr>
        <w:spacing w:after="0" w:line="240" w:lineRule="auto"/>
        <w:rPr>
          <w:rFonts w:hint="cs"/>
          <w:b/>
          <w:bCs/>
          <w:sz w:val="18"/>
          <w:szCs w:val="18"/>
          <w:lang w:bidi="ar-EG"/>
        </w:rPr>
      </w:pPr>
    </w:p>
    <w:p w:rsidR="000E2D97" w:rsidRPr="000E2D97" w:rsidRDefault="000E2D97" w:rsidP="000E2D97">
      <w:pPr>
        <w:pStyle w:val="NormalWeb"/>
        <w:bidi/>
        <w:spacing w:before="0" w:beforeAutospacing="0" w:after="0" w:afterAutospacing="0"/>
        <w:jc w:val="center"/>
        <w:rPr>
          <w:rFonts w:ascii="Simplified Arabic" w:hAnsi="Simplified Arabic" w:cs="AL-Hotham"/>
          <w:b/>
          <w:bCs/>
          <w:sz w:val="18"/>
          <w:szCs w:val="18"/>
          <w:rtl/>
          <w:lang w:bidi="ar-EG"/>
        </w:rPr>
        <w:sectPr w:rsidR="000E2D97" w:rsidRPr="000E2D97" w:rsidSect="000E2D97">
          <w:type w:val="continuous"/>
          <w:pgSz w:w="11906" w:h="16838" w:code="9"/>
          <w:pgMar w:top="1418" w:right="1133" w:bottom="568" w:left="1418" w:header="720" w:footer="720" w:gutter="0"/>
          <w:cols w:num="2" w:space="720"/>
          <w:titlePg/>
          <w:bidi/>
          <w:rtlGutter/>
          <w:docGrid w:linePitch="360"/>
        </w:sectPr>
      </w:pPr>
    </w:p>
    <w:p w:rsidR="000E2D97" w:rsidRDefault="000E2D97" w:rsidP="000E2D97">
      <w:pPr>
        <w:spacing w:after="0"/>
        <w:jc w:val="center"/>
        <w:rPr>
          <w:rFonts w:asciiTheme="majorBidi" w:hAnsiTheme="majorBidi" w:cstheme="majorBidi"/>
          <w:b/>
          <w:bCs/>
          <w:sz w:val="48"/>
          <w:szCs w:val="48"/>
          <w:rtl/>
          <w:lang w:bidi="ar-EG"/>
        </w:rPr>
        <w:sectPr w:rsidR="000E2D97" w:rsidSect="004168A0">
          <w:pgSz w:w="11906" w:h="16838"/>
          <w:pgMar w:top="1440" w:right="1800" w:bottom="1440" w:left="1800" w:header="708" w:footer="708" w:gutter="0"/>
          <w:cols w:space="708"/>
          <w:bidi/>
          <w:rtlGutter/>
          <w:docGrid w:linePitch="360"/>
        </w:sectPr>
      </w:pPr>
    </w:p>
    <w:p w:rsidR="000E2D97" w:rsidRPr="000E2D97" w:rsidRDefault="000E2D97" w:rsidP="000E2D97">
      <w:pPr>
        <w:spacing w:after="0"/>
        <w:jc w:val="center"/>
        <w:rPr>
          <w:rFonts w:asciiTheme="majorBidi" w:hAnsiTheme="majorBidi" w:cstheme="majorBidi"/>
          <w:b/>
          <w:bCs/>
          <w:sz w:val="48"/>
          <w:szCs w:val="48"/>
          <w:lang w:bidi="ar-EG"/>
        </w:rPr>
      </w:pPr>
    </w:p>
    <w:sectPr w:rsidR="000E2D97" w:rsidRPr="000E2D97" w:rsidSect="000E2D97">
      <w:type w:val="continuous"/>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03AF" w:rsidRDefault="00CE03AF" w:rsidP="000E2D97">
      <w:pPr>
        <w:spacing w:after="0" w:line="240" w:lineRule="auto"/>
      </w:pPr>
      <w:r>
        <w:separator/>
      </w:r>
    </w:p>
  </w:endnote>
  <w:endnote w:type="continuationSeparator" w:id="1">
    <w:p w:rsidR="00CE03AF" w:rsidRDefault="00CE03AF" w:rsidP="000E2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L-Mateen">
    <w:panose1 w:val="00000000000000000000"/>
    <w:charset w:val="B2"/>
    <w:family w:val="auto"/>
    <w:pitch w:val="variable"/>
    <w:sig w:usb0="00002001" w:usb1="00000000" w:usb2="00000000" w:usb3="00000000" w:csb0="00000040" w:csb1="00000000"/>
  </w:font>
  <w:font w:name="AGA Granada Regular">
    <w:panose1 w:val="0000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AL-Hotham">
    <w:panose1 w:val="0000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DecoType Thuluth">
    <w:altName w:val="Times New Roman"/>
    <w:charset w:val="B2"/>
    <w:family w:val="auto"/>
    <w:pitch w:val="variable"/>
    <w:sig w:usb0="00002000" w:usb1="80000000" w:usb2="00000008" w:usb3="00000000" w:csb0="00000040" w:csb1="00000000"/>
  </w:font>
  <w:font w:name="QCF_P146">
    <w:panose1 w:val="02000400000000000000"/>
    <w:charset w:val="00"/>
    <w:family w:val="auto"/>
    <w:pitch w:val="variable"/>
    <w:sig w:usb0="80002003" w:usb1="90000000" w:usb2="00000008" w:usb3="00000000" w:csb0="80000041" w:csb1="00000000"/>
  </w:font>
  <w:font w:name="QCF_P433">
    <w:panose1 w:val="02000400000000000000"/>
    <w:charset w:val="00"/>
    <w:family w:val="auto"/>
    <w:pitch w:val="variable"/>
    <w:sig w:usb0="80002003" w:usb1="90000000" w:usb2="00000008" w:usb3="00000000" w:csb0="80000041" w:csb1="00000000"/>
  </w:font>
  <w:font w:name="QCF_P065">
    <w:panose1 w:val="02000400000000000000"/>
    <w:charset w:val="00"/>
    <w:family w:val="auto"/>
    <w:pitch w:val="variable"/>
    <w:sig w:usb0="80002003" w:usb1="90000000" w:usb2="00000008" w:usb3="00000000" w:csb0="80000041" w:csb1="00000000"/>
  </w:font>
  <w:font w:name="QCF_P068">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03AF" w:rsidRDefault="00CE03AF" w:rsidP="000E2D97">
      <w:pPr>
        <w:spacing w:after="0" w:line="240" w:lineRule="auto"/>
      </w:pPr>
      <w:r>
        <w:separator/>
      </w:r>
    </w:p>
  </w:footnote>
  <w:footnote w:type="continuationSeparator" w:id="1">
    <w:p w:rsidR="00CE03AF" w:rsidRDefault="00CE03AF" w:rsidP="000E2D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6E9" w:rsidRDefault="00CE03AF">
    <w:pPr>
      <w:pStyle w:val="Header"/>
    </w:pPr>
    <w:r>
      <w:rPr>
        <w:noProof/>
        <w:lang w:bidi="ar-SA"/>
      </w:rPr>
      <w:pict>
        <v:group id="_x0000_s1032" style="position:absolute;left:0;text-align:left;margin-left:3.5pt;margin-top:75.5pt;width:333.5pt;height:619.25pt;z-index:251661312" coordorigin="2625,2234" coordsize="6670,12385">
          <v:line id="_x0000_s1033" style="position:absolute" from="2648,14404" to="9269,14404" strokecolor="#95b3d7" strokeweight="1pt"/>
          <v:shapetype id="_x0000_t202" coordsize="21600,21600" o:spt="202" path="m,l,21600r21600,l21600,xe">
            <v:stroke joinstyle="miter"/>
            <v:path gradientshapeok="t" o:connecttype="rect"/>
          </v:shapetype>
          <v:shape id="_x0000_s1034" type="#_x0000_t202" style="position:absolute;left:8512;top:14165;width:754;height:454" fillcolor="#4f81bd" stroked="f">
            <v:fill color2="fill darken(118)" rotate="t" angle="-135" method="linear sigma" focus="100%" type="gradient"/>
            <v:shadow on="t" type="perspective" opacity=".5" origin=",.5" offset="0,0" matrix=",56756f,,.5"/>
            <v:textbox style="mso-next-textbox:#_x0000_s1034" inset="0,,0">
              <w:txbxContent>
                <w:p w:rsidR="00C326E9" w:rsidRPr="00907733" w:rsidRDefault="00CE03AF" w:rsidP="005E730C">
                  <w:pPr>
                    <w:spacing w:line="280" w:lineRule="exact"/>
                    <w:jc w:val="center"/>
                    <w:rPr>
                      <w:rFonts w:cs="AL-Mateen" w:hint="cs"/>
                      <w:color w:val="FFFFFF"/>
                      <w:sz w:val="40"/>
                      <w:szCs w:val="40"/>
                      <w:rtl/>
                    </w:rPr>
                  </w:pPr>
                  <w:r w:rsidRPr="00907733">
                    <w:rPr>
                      <w:rStyle w:val="PageNumber"/>
                      <w:rFonts w:cs="AL-Mateen"/>
                      <w:color w:val="FFFFFF"/>
                      <w:sz w:val="40"/>
                      <w:szCs w:val="40"/>
                    </w:rPr>
                    <w:fldChar w:fldCharType="begin"/>
                  </w:r>
                  <w:r w:rsidRPr="00907733">
                    <w:rPr>
                      <w:rStyle w:val="PageNumber"/>
                      <w:rFonts w:cs="AL-Mateen"/>
                      <w:color w:val="FFFFFF"/>
                      <w:sz w:val="40"/>
                      <w:szCs w:val="40"/>
                    </w:rPr>
                    <w:instrText xml:space="preserve"> PAGE </w:instrText>
                  </w:r>
                  <w:r w:rsidRPr="00907733">
                    <w:rPr>
                      <w:rStyle w:val="PageNumber"/>
                      <w:rFonts w:cs="AL-Mateen"/>
                      <w:color w:val="FFFFFF"/>
                      <w:sz w:val="40"/>
                      <w:szCs w:val="40"/>
                    </w:rPr>
                    <w:fldChar w:fldCharType="separate"/>
                  </w:r>
                  <w:r>
                    <w:rPr>
                      <w:rStyle w:val="PageNumber"/>
                      <w:rFonts w:cs="AL-Mateen"/>
                      <w:noProof/>
                      <w:color w:val="FFFFFF"/>
                      <w:sz w:val="40"/>
                      <w:szCs w:val="40"/>
                      <w:rtl/>
                    </w:rPr>
                    <w:t>80</w:t>
                  </w:r>
                  <w:r w:rsidRPr="00907733">
                    <w:rPr>
                      <w:rStyle w:val="PageNumber"/>
                      <w:rFonts w:cs="AL-Mateen"/>
                      <w:color w:val="FFFFFF"/>
                      <w:sz w:val="40"/>
                      <w:szCs w:val="40"/>
                    </w:rPr>
                    <w:fldChar w:fldCharType="end"/>
                  </w:r>
                </w:p>
              </w:txbxContent>
            </v:textbox>
          </v:shape>
          <v:shapetype id="_x0000_t32" coordsize="21600,21600" o:spt="32" o:oned="t" path="m,l21600,21600e" filled="f">
            <v:path arrowok="t" fillok="f" o:connecttype="none"/>
            <o:lock v:ext="edit" shapetype="t"/>
          </v:shapetype>
          <v:shape id="_x0000_s1035" type="#_x0000_t32" style="position:absolute;left:5305;top:2501;width:3969;height:0;flip:x" o:connectortype="straight" strokecolor="#95b3d7" strokeweight="1pt">
            <v:shadow type="perspective" color="#243f60" opacity=".5" offset="1pt" offset2="-3p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left:2625;top:2282;width:2551;height:397" fillcolor="#369" stroked="f">
            <v:shadow on="t" color="#b2b2b2" opacity="52429f" offset="1pt,0" offset2="-4pt,-4pt"/>
            <v:textpath style="font-family:&quot;Al-Mothnna&quot;;v-text-kern:t" trim="t" fitpath="t" string="القراءات الشاذة"/>
          </v:shape>
          <v:rect id="_x0000_s1037" style="position:absolute;left:7594;top:2234;width:1701;height:509" fillcolor="#4f81bd" strokecolor="#f2f2f2" strokeweight="1pt">
            <v:fill color2="#243f60" angle="-135" focusposition="1" focussize="" focus="100%" type="gradient"/>
            <v:shadow on="t" type="perspective" color="#b8cce4" opacity=".5" origin=",.5" offset="0,0" matrix=",56756f,,.5"/>
            <v:textbox style="mso-next-textbox:#_x0000_s1037">
              <w:txbxContent>
                <w:p w:rsidR="00C326E9" w:rsidRPr="00E31343" w:rsidRDefault="00CE03AF" w:rsidP="005E730C">
                  <w:pPr>
                    <w:ind w:left="428"/>
                    <w:rPr>
                      <w:rFonts w:cs="AGA Granada Regular"/>
                      <w:color w:val="FFFFFF"/>
                      <w:sz w:val="36"/>
                      <w:szCs w:val="36"/>
                      <w:rtl/>
                    </w:rPr>
                  </w:pPr>
                </w:p>
              </w:txbxContent>
            </v:textbox>
          </v:rect>
          <v:shape id="_x0000_s1038" type="#_x0000_t136" style="position:absolute;left:7736;top:2330;width:1417;height:317" stroked="f">
            <v:shadow on="t" color="black" opacity="52429f" offset="1pt,0" offset2="-4pt,-4pt"/>
            <v:textpath style="font-family:&quot;AGA Granada Regular&quot;;v-text-kern:t" trim="t" fitpath="t" string="الدرس الرابع"/>
          </v:shape>
          <w10:wrap anchorx="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2">
    <w:nsid w:val="54AF07C7"/>
    <w:multiLevelType w:val="hybridMultilevel"/>
    <w:tmpl w:val="3DB6F57A"/>
    <w:lvl w:ilvl="0" w:tplc="ED521654">
      <w:start w:val="1"/>
      <w:numFmt w:val="decimal"/>
      <w:lvlText w:val="%1."/>
      <w:lvlJc w:val="left"/>
      <w:pPr>
        <w:tabs>
          <w:tab w:val="num" w:pos="463"/>
        </w:tabs>
        <w:ind w:left="463"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3074"/>
    <o:shapelayout v:ext="edit">
      <o:idmap v:ext="edit" data="1"/>
      <o:rules v:ext="edit">
        <o:r id="V:Rule2" type="connector" idref="#_x0000_s1035"/>
      </o:rules>
    </o:shapelayout>
  </w:hdrShapeDefaults>
  <w:footnotePr>
    <w:footnote w:id="0"/>
    <w:footnote w:id="1"/>
  </w:footnotePr>
  <w:endnotePr>
    <w:endnote w:id="0"/>
    <w:endnote w:id="1"/>
  </w:endnotePr>
  <w:compat/>
  <w:rsids>
    <w:rsidRoot w:val="000E2D97"/>
    <w:rsid w:val="000E2D97"/>
    <w:rsid w:val="001A2769"/>
    <w:rsid w:val="004168A0"/>
    <w:rsid w:val="004219C3"/>
    <w:rsid w:val="004A286F"/>
    <w:rsid w:val="00CE03A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9C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E2D9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rsid w:val="000E2D97"/>
    <w:pPr>
      <w:tabs>
        <w:tab w:val="center" w:pos="4153"/>
        <w:tab w:val="right" w:pos="8306"/>
      </w:tabs>
      <w:spacing w:after="0" w:line="240" w:lineRule="auto"/>
    </w:pPr>
    <w:rPr>
      <w:rFonts w:ascii="Times New Roman" w:eastAsia="Times New Roman" w:hAnsi="Times New Roman" w:cs="Times New Roman"/>
      <w:sz w:val="24"/>
      <w:szCs w:val="24"/>
      <w:lang w:bidi="ar-EG"/>
    </w:rPr>
  </w:style>
  <w:style w:type="character" w:customStyle="1" w:styleId="HeaderChar">
    <w:name w:val="Header Char"/>
    <w:basedOn w:val="DefaultParagraphFont"/>
    <w:link w:val="Header"/>
    <w:rsid w:val="000E2D97"/>
    <w:rPr>
      <w:rFonts w:ascii="Times New Roman" w:eastAsia="Times New Roman" w:hAnsi="Times New Roman" w:cs="Times New Roman"/>
      <w:sz w:val="24"/>
      <w:szCs w:val="24"/>
      <w:lang w:bidi="ar-EG"/>
    </w:rPr>
  </w:style>
  <w:style w:type="character" w:styleId="PageNumber">
    <w:name w:val="page number"/>
    <w:basedOn w:val="DefaultParagraphFont"/>
    <w:rsid w:val="000E2D97"/>
  </w:style>
  <w:style w:type="paragraph" w:styleId="Footer">
    <w:name w:val="footer"/>
    <w:basedOn w:val="Normal"/>
    <w:link w:val="FooterChar"/>
    <w:uiPriority w:val="99"/>
    <w:semiHidden/>
    <w:unhideWhenUsed/>
    <w:rsid w:val="000E2D97"/>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0E2D97"/>
  </w:style>
  <w:style w:type="character" w:styleId="Hyperlink">
    <w:name w:val="Hyperlink"/>
    <w:basedOn w:val="DefaultParagraphFont"/>
    <w:uiPriority w:val="99"/>
    <w:unhideWhenUsed/>
    <w:rsid w:val="000E2D9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hmedmsamir5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797</Words>
  <Characters>4546</Characters>
  <Application>Microsoft Office Word</Application>
  <DocSecurity>0</DocSecurity>
  <Lines>37</Lines>
  <Paragraphs>10</Paragraphs>
  <ScaleCrop>false</ScaleCrop>
  <Company>Fannan</Company>
  <LinksUpToDate>false</LinksUpToDate>
  <CharactersWithSpaces>5333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Fannan NewLook V5</cp:lastModifiedBy>
  <cp:revision>1</cp:revision>
  <dcterms:created xsi:type="dcterms:W3CDTF">2013-06-16T14:11:00Z</dcterms:created>
  <dcterms:modified xsi:type="dcterms:W3CDTF">2013-06-16T14:16:00Z</dcterms:modified>
</cp:coreProperties>
</file>