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FA5701" w:rsidRDefault="00FA5701" w:rsidP="00FA5701">
      <w:pPr>
        <w:jc w:val="center"/>
        <w:rPr>
          <w:sz w:val="48"/>
          <w:szCs w:val="48"/>
          <w:rtl/>
        </w:rPr>
      </w:pPr>
      <w:r w:rsidRPr="00FA5701">
        <w:rPr>
          <w:rFonts w:ascii="Calibri" w:eastAsia="Calibri" w:hAnsi="Calibri" w:cs="AGA Rasheeq Bold" w:hint="cs"/>
          <w:sz w:val="48"/>
          <w:szCs w:val="48"/>
          <w:rtl/>
        </w:rPr>
        <w:t>أصالة ابن أبي حاتم في (الجرح والتعديل)</w:t>
      </w:r>
    </w:p>
    <w:p w:rsidR="00FA5701" w:rsidRPr="00BB1330" w:rsidRDefault="00FA5701" w:rsidP="00FA5701">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FA5701" w:rsidRDefault="00FA5701" w:rsidP="007B5274">
      <w:pPr>
        <w:pStyle w:val="Author"/>
        <w:bidi/>
        <w:rPr>
          <w:rFonts w:eastAsia="Times New Roman"/>
        </w:rPr>
      </w:pPr>
      <w:r>
        <w:rPr>
          <w:rFonts w:hint="cs"/>
          <w:i/>
          <w:iCs/>
          <w:rtl/>
        </w:rPr>
        <w:t xml:space="preserve">إعداد / </w:t>
      </w:r>
      <w:r w:rsidR="007B5274" w:rsidRPr="007B5274">
        <w:rPr>
          <w:i/>
          <w:iCs/>
          <w:rtl/>
          <w:lang w:bidi="ar-EG"/>
        </w:rPr>
        <w:t>أحمد عبد الحميد مهدي</w:t>
      </w:r>
    </w:p>
    <w:p w:rsidR="00FA5701" w:rsidRDefault="00FA5701" w:rsidP="00FA5701">
      <w:pPr>
        <w:pStyle w:val="Affiliation"/>
        <w:bidi/>
        <w:rPr>
          <w:rFonts w:eastAsia="Times New Roman"/>
        </w:rPr>
      </w:pPr>
      <w:r>
        <w:rPr>
          <w:rFonts w:hint="cs"/>
          <w:i/>
          <w:iCs/>
          <w:rtl/>
        </w:rPr>
        <w:t>قسم الدعوة وأصول الدين</w:t>
      </w:r>
    </w:p>
    <w:p w:rsidR="00FA5701" w:rsidRDefault="00FA5701" w:rsidP="00FA5701">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FA5701" w:rsidRDefault="00FA5701" w:rsidP="00FA5701">
      <w:pPr>
        <w:pStyle w:val="Affiliation"/>
        <w:bidi/>
        <w:rPr>
          <w:rtl/>
        </w:rPr>
      </w:pPr>
      <w:r>
        <w:rPr>
          <w:rFonts w:hint="cs"/>
          <w:rtl/>
        </w:rPr>
        <w:t>شاه علم - ماليزيا</w:t>
      </w:r>
    </w:p>
    <w:p w:rsidR="00FA5701" w:rsidRDefault="007B5274" w:rsidP="00FA5701">
      <w:pPr>
        <w:spacing w:line="240" w:lineRule="auto"/>
        <w:jc w:val="center"/>
        <w:rPr>
          <w:rFonts w:asciiTheme="majorBidi" w:hAnsiTheme="majorBidi" w:cstheme="majorBidi"/>
          <w:b/>
          <w:bCs/>
          <w:sz w:val="18"/>
          <w:szCs w:val="18"/>
          <w:rtl/>
          <w:lang w:bidi="ar-EG"/>
        </w:rPr>
      </w:pPr>
      <w:r w:rsidRPr="007B5274">
        <w:rPr>
          <w:rFonts w:ascii="Times New Roman" w:eastAsia="SimSun" w:hAnsi="Times New Roman" w:cs="Times New Roman"/>
          <w:i/>
          <w:iCs/>
          <w:sz w:val="20"/>
          <w:szCs w:val="20"/>
          <w:lang w:eastAsia="zh-CN" w:bidi="ar-EG"/>
        </w:rPr>
        <w:t>ahmed.mahdey@mediu.ws</w:t>
      </w:r>
    </w:p>
    <w:p w:rsidR="00FA5701" w:rsidRDefault="00FA5701" w:rsidP="00FA5701">
      <w:pPr>
        <w:pStyle w:val="a3"/>
        <w:jc w:val="right"/>
        <w:rPr>
          <w:rFonts w:asciiTheme="majorBidi" w:hAnsiTheme="majorBidi" w:cstheme="majorBidi"/>
          <w:b/>
          <w:bCs/>
          <w:sz w:val="18"/>
          <w:szCs w:val="18"/>
          <w:rtl/>
        </w:rPr>
        <w:sectPr w:rsidR="00FA5701" w:rsidSect="007E639D">
          <w:pgSz w:w="11906" w:h="16838"/>
          <w:pgMar w:top="1440" w:right="1440" w:bottom="1440" w:left="1440" w:header="720" w:footer="720" w:gutter="0"/>
          <w:cols w:space="720"/>
          <w:bidi/>
          <w:rtlGutter/>
          <w:docGrid w:linePitch="360"/>
        </w:sectPr>
      </w:pPr>
    </w:p>
    <w:p w:rsidR="00FA5701" w:rsidRPr="00FA5701" w:rsidRDefault="00FA5701" w:rsidP="00FA5701">
      <w:pPr>
        <w:rPr>
          <w:b/>
          <w:bCs/>
          <w:sz w:val="18"/>
          <w:szCs w:val="18"/>
          <w:rtl/>
        </w:rPr>
      </w:pPr>
      <w:r>
        <w:rPr>
          <w:rFonts w:asciiTheme="majorBidi" w:hAnsiTheme="majorBidi" w:cstheme="majorBidi"/>
          <w:b/>
          <w:bCs/>
          <w:sz w:val="18"/>
          <w:szCs w:val="18"/>
          <w:rtl/>
        </w:rPr>
        <w:lastRenderedPageBreak/>
        <w:t xml:space="preserve">الخلاصة – هذا البحث يبحث فى </w:t>
      </w:r>
      <w:r w:rsidRPr="00FA5701">
        <w:rPr>
          <w:rFonts w:ascii="Calibri" w:eastAsia="Calibri" w:hAnsi="Calibri" w:cs="AGA Rasheeq Bold" w:hint="cs"/>
          <w:b/>
          <w:bCs/>
          <w:sz w:val="18"/>
          <w:szCs w:val="18"/>
          <w:rtl/>
        </w:rPr>
        <w:t>أصالة ابن أبي حاتم في (الجرح والتعديل)</w:t>
      </w:r>
      <w:r w:rsidRPr="00FA5701">
        <w:rPr>
          <w:rFonts w:asciiTheme="majorBidi" w:hAnsiTheme="majorBidi" w:cstheme="majorBidi"/>
          <w:b/>
          <w:bCs/>
          <w:sz w:val="18"/>
          <w:szCs w:val="18"/>
        </w:rPr>
        <w:t xml:space="preserve"> </w:t>
      </w:r>
      <w:r w:rsidRPr="00FA5701">
        <w:rPr>
          <w:rFonts w:asciiTheme="majorBidi" w:hAnsiTheme="majorBidi" w:cstheme="majorBidi"/>
          <w:b/>
          <w:bCs/>
          <w:sz w:val="18"/>
          <w:szCs w:val="18"/>
        </w:rPr>
        <w:br/>
      </w:r>
      <w:r w:rsidRPr="00FA570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القضية </w:t>
      </w:r>
      <w:r w:rsidRPr="00FA5701">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المقارنة </w:t>
      </w:r>
      <w:r w:rsidRPr="00FA5701">
        <w:rPr>
          <w:rFonts w:asciiTheme="majorBidi" w:hAnsiTheme="majorBidi" w:cstheme="majorBidi"/>
          <w:b/>
          <w:bCs/>
          <w:sz w:val="18"/>
          <w:szCs w:val="18"/>
          <w:rtl/>
        </w:rPr>
        <w:t xml:space="preserve">، </w:t>
      </w:r>
      <w:r>
        <w:rPr>
          <w:rFonts w:asciiTheme="majorBidi" w:hAnsiTheme="majorBidi" w:cstheme="majorBidi" w:hint="cs"/>
          <w:b/>
          <w:bCs/>
          <w:sz w:val="18"/>
          <w:szCs w:val="18"/>
          <w:rtl/>
        </w:rPr>
        <w:t>نماذج</w:t>
      </w:r>
      <w:r w:rsidRPr="00FA5701">
        <w:rPr>
          <w:rFonts w:asciiTheme="majorBidi" w:hAnsiTheme="majorBidi" w:cstheme="majorBidi"/>
          <w:b/>
          <w:bCs/>
          <w:sz w:val="18"/>
          <w:szCs w:val="18"/>
          <w:rtl/>
        </w:rPr>
        <w:t xml:space="preserve"> </w:t>
      </w:r>
    </w:p>
    <w:p w:rsidR="00FA5701" w:rsidRPr="00FA5701" w:rsidRDefault="00FA5701" w:rsidP="00FA5701">
      <w:pPr>
        <w:pStyle w:val="a3"/>
        <w:jc w:val="center"/>
        <w:rPr>
          <w:rFonts w:asciiTheme="majorBidi" w:hAnsiTheme="majorBidi" w:cstheme="majorBidi"/>
          <w:b/>
          <w:bCs/>
          <w:sz w:val="18"/>
          <w:szCs w:val="18"/>
          <w:lang w:bidi="ar-EG"/>
        </w:rPr>
      </w:pPr>
      <w:r w:rsidRPr="00FA5701">
        <w:rPr>
          <w:rFonts w:asciiTheme="majorBidi" w:hAnsiTheme="majorBidi" w:cstheme="majorBidi"/>
          <w:b/>
          <w:bCs/>
          <w:sz w:val="18"/>
          <w:szCs w:val="18"/>
          <w:rtl/>
        </w:rPr>
        <w:t>المقدمة</w:t>
      </w:r>
      <w:r w:rsidRPr="00FA5701">
        <w:rPr>
          <w:rFonts w:asciiTheme="majorBidi" w:hAnsiTheme="majorBidi" w:cstheme="majorBidi"/>
          <w:b/>
          <w:bCs/>
          <w:sz w:val="18"/>
          <w:szCs w:val="18"/>
          <w:lang w:bidi="ar-EG"/>
        </w:rPr>
        <w:t>.I</w:t>
      </w:r>
    </w:p>
    <w:p w:rsidR="00FA5701" w:rsidRPr="00FA5701" w:rsidRDefault="00FA5701" w:rsidP="00FA5701">
      <w:pPr>
        <w:pStyle w:val="a3"/>
        <w:jc w:val="right"/>
        <w:rPr>
          <w:rFonts w:asciiTheme="majorBidi" w:hAnsiTheme="majorBidi" w:cstheme="majorBidi"/>
          <w:b/>
          <w:bCs/>
          <w:sz w:val="18"/>
          <w:szCs w:val="18"/>
        </w:rPr>
      </w:pPr>
      <w:r w:rsidRPr="00FA5701">
        <w:rPr>
          <w:rFonts w:asciiTheme="majorBidi" w:hAnsiTheme="majorBidi" w:cstheme="majorBidi"/>
          <w:b/>
          <w:bCs/>
          <w:sz w:val="18"/>
          <w:szCs w:val="18"/>
        </w:rPr>
        <w:br/>
      </w:r>
      <w:r w:rsidRPr="00FA570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A5701">
        <w:rPr>
          <w:rFonts w:ascii="Calibri" w:eastAsia="Calibri" w:hAnsi="Calibri" w:cs="AGA Rasheeq Bold" w:hint="cs"/>
          <w:b/>
          <w:bCs/>
          <w:sz w:val="18"/>
          <w:szCs w:val="18"/>
          <w:rtl/>
        </w:rPr>
        <w:t>أصالة ابن أبي حاتم في (الجرح والتعديل)</w:t>
      </w:r>
    </w:p>
    <w:p w:rsidR="00FA5701" w:rsidRPr="00FA5701" w:rsidRDefault="00FA5701" w:rsidP="00FA5701">
      <w:pPr>
        <w:pStyle w:val="a3"/>
        <w:jc w:val="center"/>
        <w:rPr>
          <w:rFonts w:asciiTheme="majorBidi" w:hAnsiTheme="majorBidi" w:cstheme="majorBidi"/>
          <w:b/>
          <w:bCs/>
          <w:sz w:val="18"/>
          <w:szCs w:val="18"/>
        </w:rPr>
      </w:pPr>
      <w:r w:rsidRPr="00FA5701">
        <w:rPr>
          <w:rFonts w:asciiTheme="majorBidi" w:hAnsiTheme="majorBidi" w:cstheme="majorBidi"/>
          <w:b/>
          <w:bCs/>
          <w:sz w:val="18"/>
          <w:szCs w:val="18"/>
        </w:rPr>
        <w:br/>
      </w:r>
      <w:r w:rsidRPr="00FA5701">
        <w:rPr>
          <w:rFonts w:asciiTheme="majorBidi" w:hAnsiTheme="majorBidi" w:cstheme="majorBidi"/>
          <w:b/>
          <w:bCs/>
          <w:sz w:val="18"/>
          <w:szCs w:val="18"/>
          <w:rtl/>
        </w:rPr>
        <w:t>.عنوان المقال</w:t>
      </w:r>
      <w:r w:rsidRPr="00FA5701">
        <w:rPr>
          <w:rFonts w:asciiTheme="majorBidi" w:hAnsiTheme="majorBidi" w:cstheme="majorBidi"/>
          <w:b/>
          <w:bCs/>
          <w:sz w:val="18"/>
          <w:szCs w:val="18"/>
        </w:rPr>
        <w:t>II</w:t>
      </w:r>
    </w:p>
    <w:p w:rsidR="00FA5701" w:rsidRPr="00FA5701" w:rsidRDefault="00FA5701" w:rsidP="00FA5701">
      <w:pPr>
        <w:pStyle w:val="a3"/>
        <w:bidi/>
        <w:spacing w:before="0" w:beforeAutospacing="0" w:after="120" w:afterAutospacing="0"/>
        <w:jc w:val="lowKashida"/>
        <w:rPr>
          <w:rFonts w:asciiTheme="majorBidi" w:hAnsiTheme="majorBidi" w:cstheme="majorBidi"/>
          <w:b/>
          <w:bCs/>
          <w:sz w:val="18"/>
          <w:szCs w:val="18"/>
        </w:rPr>
      </w:pPr>
      <w:r w:rsidRPr="00FA5701">
        <w:rPr>
          <w:rFonts w:asciiTheme="majorBidi" w:hAnsiTheme="majorBidi" w:cstheme="majorBidi"/>
          <w:b/>
          <w:bCs/>
          <w:sz w:val="18"/>
          <w:szCs w:val="18"/>
          <w:rtl/>
        </w:rPr>
        <w:t>(الجرح والتعديل) لابن أبي حاتم:</w:t>
      </w:r>
    </w:p>
    <w:p w:rsidR="00FA5701" w:rsidRPr="00FA5701" w:rsidRDefault="00FA5701" w:rsidP="00FA5701">
      <w:pPr>
        <w:pStyle w:val="a3"/>
        <w:bidi/>
        <w:jc w:val="lowKashida"/>
        <w:rPr>
          <w:rFonts w:asciiTheme="majorBidi" w:hAnsiTheme="majorBidi" w:cstheme="majorBidi"/>
          <w:b/>
          <w:bCs/>
          <w:sz w:val="18"/>
          <w:szCs w:val="18"/>
        </w:rPr>
      </w:pPr>
      <w:r w:rsidRPr="00FA5701">
        <w:rPr>
          <w:rFonts w:asciiTheme="majorBidi" w:hAnsiTheme="majorBidi" w:cstheme="majorBidi"/>
          <w:b/>
          <w:bCs/>
          <w:sz w:val="18"/>
          <w:szCs w:val="18"/>
          <w:rtl/>
        </w:rPr>
        <w:t xml:space="preserve">هل لابن أبي حاتم أصالة في هذا الكتاب، أو أنه سرق هذا الكتاب؟ </w:t>
      </w:r>
    </w:p>
    <w:p w:rsidR="00FA5701" w:rsidRPr="00FA5701" w:rsidRDefault="00FA5701" w:rsidP="00FA5701">
      <w:pPr>
        <w:pStyle w:val="a3"/>
        <w:bidi/>
        <w:spacing w:before="0" w:beforeAutospacing="0" w:after="120" w:afterAutospacing="0"/>
        <w:jc w:val="lowKashida"/>
        <w:rPr>
          <w:rFonts w:asciiTheme="majorBidi" w:hAnsiTheme="majorBidi" w:cstheme="majorBidi"/>
          <w:b/>
          <w:bCs/>
          <w:sz w:val="18"/>
          <w:szCs w:val="18"/>
        </w:rPr>
      </w:pPr>
      <w:r w:rsidRPr="00FA5701">
        <w:rPr>
          <w:rFonts w:asciiTheme="majorBidi" w:hAnsiTheme="majorBidi" w:cstheme="majorBidi"/>
          <w:b/>
          <w:bCs/>
          <w:sz w:val="18"/>
          <w:szCs w:val="18"/>
          <w:rtl/>
        </w:rPr>
        <w:t xml:space="preserve">وفي مناقشة هذه القضية يبدو لنا حقيقة الكتابين من المقارنة بينهما، وفي عرض نماذج هي نفسها التي قرأنا منها في كتاب البخاري. </w:t>
      </w:r>
    </w:p>
    <w:p w:rsidR="00FA5701" w:rsidRPr="00FA5701" w:rsidRDefault="00FA5701" w:rsidP="00FA5701">
      <w:pPr>
        <w:pStyle w:val="a3"/>
        <w:bidi/>
        <w:spacing w:before="0" w:beforeAutospacing="0" w:after="120" w:afterAutospacing="0"/>
        <w:jc w:val="lowKashida"/>
        <w:rPr>
          <w:rFonts w:asciiTheme="majorBidi" w:hAnsiTheme="majorBidi" w:cstheme="majorBidi"/>
          <w:b/>
          <w:bCs/>
          <w:sz w:val="18"/>
          <w:szCs w:val="18"/>
        </w:rPr>
      </w:pPr>
      <w:r w:rsidRPr="00FA5701">
        <w:rPr>
          <w:rFonts w:asciiTheme="majorBidi" w:hAnsiTheme="majorBidi" w:cstheme="majorBidi"/>
          <w:b/>
          <w:bCs/>
          <w:sz w:val="18"/>
          <w:szCs w:val="18"/>
          <w:rtl/>
        </w:rPr>
        <w:t xml:space="preserve">فمن الواجب علينا -ونحن ندرس كتاب (الجرح والتعديل)- أن نناقش قضية هامة أثارها بعض الباحثين قديمًا وحديثًا، وهي أن كتاب (الجرح والتعديل) مأخوذ من كتاب (التاريخ الكبير) للإمام محمد بن إسماعيل البخاري، ويصور هذه القضية تلك الرواية التي نقلها غير واحد من المؤرخين، وهي تقول بأن أبا أحمد الحاكم قال: كنت بالري -وهي بلد ابن أبي حاتم- فرأيتهم يومًا يقرءون على أبي محمد بن أبي حاتم كتاب (الجرح والتعديل)، فلما فرغوا قلت لابن عبدويه الوراق: ما هذه الضحكة، أراكم تقرءون كتاب (التاريخ) لمحمد بن إسماعيل البخاري عن شيخكم على هذا الوجه، وقد نسبتموه إلى أبي زرعة، وأبي حاتم، وللخطيب البغدادي عبارة توافق في معناها رأي أبي أحمد الحاكم، وإن كانت أقسى منها لهجة؛ إذ نسب إلى ابن أبي حاتم الإغارة على كتاب البخاري. </w:t>
      </w:r>
    </w:p>
    <w:p w:rsidR="00FA5701" w:rsidRPr="00FA5701" w:rsidRDefault="00FA5701" w:rsidP="00FA5701">
      <w:pPr>
        <w:pStyle w:val="a3"/>
        <w:bidi/>
        <w:spacing w:before="0" w:beforeAutospacing="0" w:after="120" w:afterAutospacing="0"/>
        <w:jc w:val="lowKashida"/>
        <w:rPr>
          <w:rFonts w:asciiTheme="majorBidi" w:hAnsiTheme="majorBidi" w:cstheme="majorBidi"/>
          <w:b/>
          <w:bCs/>
          <w:sz w:val="18"/>
          <w:szCs w:val="18"/>
        </w:rPr>
      </w:pPr>
      <w:r w:rsidRPr="00FA5701">
        <w:rPr>
          <w:rFonts w:asciiTheme="majorBidi" w:hAnsiTheme="majorBidi" w:cstheme="majorBidi"/>
          <w:b/>
          <w:bCs/>
          <w:sz w:val="18"/>
          <w:szCs w:val="18"/>
          <w:rtl/>
        </w:rPr>
        <w:t>يقول في كتابه موضحًا أوهام الجمع والتفريق: ومن العجيب أن أبي حاتم أغار على كتاب البخاري ونقله إلى كتابه (الجرح والتعديل)، وعمد إلى ما تضمنه من الأسماء فسأل عنها أباه وأبا زرعة، ودوّن عنهما الجواب، وصار في هذا المضمار بعض الباحثين، واعتبر بعضهم أن قيمة كتاب (الجرح والتعديل) تزداد بها النظرة التقديرية إلى أصله كتاب (التاريخ الكبير) للبخاري، والواقع أن أبا أحمد الحاكم الذي أطلق هذه الدعوة، وتبعه من جاء بعده غير محقٍ في دعواه هذه.</w:t>
      </w:r>
    </w:p>
    <w:p w:rsidR="00FA5701" w:rsidRPr="00FA5701" w:rsidRDefault="00FA5701" w:rsidP="00FA5701">
      <w:pPr>
        <w:pStyle w:val="a3"/>
        <w:bidi/>
        <w:spacing w:before="0" w:beforeAutospacing="0" w:after="120" w:afterAutospacing="0"/>
        <w:jc w:val="lowKashida"/>
        <w:rPr>
          <w:rFonts w:asciiTheme="majorBidi" w:hAnsiTheme="majorBidi" w:cstheme="majorBidi"/>
          <w:b/>
          <w:bCs/>
          <w:sz w:val="18"/>
          <w:szCs w:val="18"/>
          <w:rtl/>
        </w:rPr>
      </w:pPr>
      <w:r w:rsidRPr="00FA5701">
        <w:rPr>
          <w:rFonts w:asciiTheme="majorBidi" w:hAnsiTheme="majorBidi" w:cstheme="majorBidi"/>
          <w:b/>
          <w:bCs/>
          <w:sz w:val="18"/>
          <w:szCs w:val="18"/>
          <w:rtl/>
        </w:rPr>
        <w:t xml:space="preserve">ويبدو أنه -كما يقول بعض الباحثين- سمعهم يقرءون بعض التراجم القصيرة التي لم يتفق لابن أبي حاتم فيها ذكر (الجرح والتعديل)، ولا زيادة مهمة على ما في (التاريخ)، فاكتفى بتلك النظرة السطحية، ولو تصفح الكتاب ما قال ما قال. </w:t>
      </w:r>
    </w:p>
    <w:p w:rsidR="00FA5701" w:rsidRPr="00FA5701" w:rsidRDefault="00FA5701" w:rsidP="00FA5701">
      <w:pPr>
        <w:pStyle w:val="a4"/>
        <w:spacing w:line="240" w:lineRule="auto"/>
        <w:ind w:left="373"/>
        <w:jc w:val="center"/>
        <w:rPr>
          <w:rFonts w:asciiTheme="majorBidi" w:hAnsiTheme="majorBidi" w:cstheme="majorBidi"/>
          <w:b/>
          <w:bCs/>
          <w:sz w:val="18"/>
          <w:szCs w:val="18"/>
          <w:rtl/>
        </w:rPr>
      </w:pPr>
      <w:r w:rsidRPr="00FA5701">
        <w:rPr>
          <w:rFonts w:asciiTheme="majorBidi" w:hAnsiTheme="majorBidi" w:cstheme="majorBidi"/>
          <w:b/>
          <w:bCs/>
          <w:sz w:val="18"/>
          <w:szCs w:val="18"/>
          <w:rtl/>
        </w:rPr>
        <w:t>المراجع والمصادر</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(علم رجال الحديث) </w:t>
      </w:r>
    </w:p>
    <w:p w:rsidR="00FA5701" w:rsidRPr="00FA5701" w:rsidRDefault="00FA5701" w:rsidP="00FA5701">
      <w:pPr>
        <w:spacing w:after="120" w:line="240" w:lineRule="auto"/>
        <w:ind w:left="227" w:firstLine="283"/>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lastRenderedPageBreak/>
        <w:t>تقي الدين الندوي المظاهري، المدينة المنورة، مكتبة الإيمان، 1987م.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rPr>
      </w:pPr>
      <w:r w:rsidRPr="00FA5701">
        <w:rPr>
          <w:rFonts w:asciiTheme="majorBidi" w:hAnsiTheme="majorBidi" w:cstheme="majorBidi"/>
          <w:b/>
          <w:bCs/>
          <w:sz w:val="18"/>
          <w:szCs w:val="18"/>
          <w:rtl/>
          <w:lang w:bidi="ar-EG"/>
        </w:rPr>
        <w:t xml:space="preserve">(علم الرجال وأهميته) </w:t>
      </w:r>
    </w:p>
    <w:p w:rsidR="00FA5701" w:rsidRPr="00FA5701" w:rsidRDefault="00FA5701" w:rsidP="00FA5701">
      <w:pPr>
        <w:spacing w:after="120" w:line="240" w:lineRule="auto"/>
        <w:ind w:left="510"/>
        <w:jc w:val="lowKashida"/>
        <w:rPr>
          <w:rFonts w:asciiTheme="majorBidi" w:hAnsiTheme="majorBidi" w:cstheme="majorBidi"/>
          <w:b/>
          <w:bCs/>
          <w:sz w:val="18"/>
          <w:szCs w:val="18"/>
          <w:rtl/>
        </w:rPr>
      </w:pPr>
      <w:r w:rsidRPr="00FA5701">
        <w:rPr>
          <w:rFonts w:asciiTheme="majorBidi" w:hAnsiTheme="majorBidi" w:cstheme="majorBidi"/>
          <w:b/>
          <w:bCs/>
          <w:sz w:val="18"/>
          <w:szCs w:val="18"/>
          <w:rtl/>
          <w:lang w:bidi="ar-EG"/>
        </w:rPr>
        <w:t>عبد الرحمن بن يحيى المعلمي اليماني, دار الراية للنشر والتوزيع, 1417هـ.</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(علم طبقات المحدثين: أهميته وفوائده) </w:t>
      </w:r>
    </w:p>
    <w:p w:rsidR="00FA5701" w:rsidRPr="00FA5701" w:rsidRDefault="00FA5701" w:rsidP="00FA5701">
      <w:pPr>
        <w:spacing w:after="120" w:line="240" w:lineRule="auto"/>
        <w:ind w:left="227" w:firstLine="283"/>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أسعد سالم يتم، مكتبة الرشد, 1994م.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(تاريخ خليفة بن خياط) </w:t>
      </w:r>
    </w:p>
    <w:p w:rsidR="00FA5701" w:rsidRPr="00FA5701" w:rsidRDefault="00FA5701" w:rsidP="00FA5701">
      <w:pPr>
        <w:spacing w:after="120" w:line="240" w:lineRule="auto"/>
        <w:ind w:left="510"/>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(الطبقات) </w:t>
      </w:r>
    </w:p>
    <w:p w:rsidR="00FA5701" w:rsidRPr="00FA5701" w:rsidRDefault="00FA5701" w:rsidP="00FA5701">
      <w:pPr>
        <w:spacing w:after="120" w:line="240" w:lineRule="auto"/>
        <w:ind w:left="227" w:firstLine="283"/>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خليفة بن خياط الشيباني، الرياض، دار طيبة،1982م.</w:t>
      </w:r>
    </w:p>
    <w:p w:rsidR="00FA5701" w:rsidRPr="00FA5701" w:rsidRDefault="00FA5701" w:rsidP="00FA5701">
      <w:pPr>
        <w:numPr>
          <w:ilvl w:val="0"/>
          <w:numId w:val="1"/>
        </w:numPr>
        <w:spacing w:after="120" w:line="240" w:lineRule="auto"/>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(التاريخ الكبير) </w:t>
      </w:r>
    </w:p>
    <w:p w:rsidR="00FA5701" w:rsidRPr="00FA5701" w:rsidRDefault="00FA5701" w:rsidP="00FA5701">
      <w:pPr>
        <w:spacing w:after="120" w:line="240" w:lineRule="auto"/>
        <w:ind w:left="510"/>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عبد الله بن اسماعيل بن ابراهيم البخاري، بيروت، دار الكتب العلمية، 1884م.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(الجرح والتعديل) </w:t>
      </w:r>
    </w:p>
    <w:p w:rsidR="00FA5701" w:rsidRPr="00FA5701" w:rsidRDefault="00FA5701" w:rsidP="00FA5701">
      <w:pPr>
        <w:spacing w:after="120" w:line="240" w:lineRule="auto"/>
        <w:ind w:left="510"/>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(مناهج المحدِّثين في</w:t>
      </w:r>
      <w:r w:rsidRPr="00FA5701">
        <w:rPr>
          <w:rFonts w:asciiTheme="majorBidi" w:hAnsiTheme="majorBidi" w:cstheme="majorBidi"/>
          <w:b/>
          <w:bCs/>
          <w:sz w:val="18"/>
          <w:szCs w:val="18"/>
          <w:lang w:bidi="ar-EG"/>
        </w:rPr>
        <w:t xml:space="preserve"> </w:t>
      </w:r>
      <w:r w:rsidRPr="00FA5701">
        <w:rPr>
          <w:rFonts w:asciiTheme="majorBidi" w:hAnsiTheme="majorBidi" w:cstheme="majorBidi"/>
          <w:b/>
          <w:bCs/>
          <w:sz w:val="18"/>
          <w:szCs w:val="18"/>
          <w:rtl/>
          <w:lang w:bidi="ar-EG"/>
        </w:rPr>
        <w:t xml:space="preserve">رواية الحديث بالمعنى) </w:t>
      </w:r>
    </w:p>
    <w:p w:rsidR="00FA5701" w:rsidRPr="00FA5701" w:rsidRDefault="00FA5701" w:rsidP="00FA5701">
      <w:pPr>
        <w:spacing w:after="120" w:line="240" w:lineRule="auto"/>
        <w:ind w:left="510"/>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عبد الرزاق بن خليفة الشايجي، بيروت، دار ابن حزم للطباعة والنشر، 1419هـ.</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(الضوء اللامع المبين عن مناهج المحدثين) </w:t>
      </w:r>
    </w:p>
    <w:p w:rsidR="00FA5701" w:rsidRPr="00FA5701" w:rsidRDefault="00FA5701" w:rsidP="00FA5701">
      <w:pPr>
        <w:spacing w:after="120" w:line="240" w:lineRule="auto"/>
        <w:ind w:left="227" w:firstLine="283"/>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أحمد محرم الشيخ ناجي, مطبعة الصفا والمروة, 2001م.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(من روى عن أبيه عن جده) </w:t>
      </w:r>
    </w:p>
    <w:p w:rsidR="00FA5701" w:rsidRPr="00FA5701" w:rsidRDefault="00FA5701" w:rsidP="00FA5701">
      <w:pPr>
        <w:spacing w:after="120" w:line="240" w:lineRule="auto"/>
        <w:ind w:left="510"/>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(الرواة من الأخوة والأخوات) </w:t>
      </w:r>
    </w:p>
    <w:p w:rsidR="00FA5701" w:rsidRPr="00FA5701" w:rsidRDefault="00FA5701" w:rsidP="00FA5701">
      <w:pPr>
        <w:spacing w:after="120" w:line="240" w:lineRule="auto"/>
        <w:ind w:left="510"/>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(الكنى والأسماء) </w:t>
      </w:r>
    </w:p>
    <w:p w:rsidR="00FA5701" w:rsidRPr="00FA5701" w:rsidRDefault="00FA5701" w:rsidP="00FA5701">
      <w:pPr>
        <w:spacing w:after="120" w:line="240" w:lineRule="auto"/>
        <w:ind w:left="227" w:firstLine="283"/>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محمد بن أحمد الدولابي،حيدر آباد، دائرة المعارف النظامية، 1322هـ.</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(طبقات الحنابلة) </w:t>
      </w:r>
    </w:p>
    <w:p w:rsidR="00FA5701" w:rsidRPr="00FA5701" w:rsidRDefault="00FA5701" w:rsidP="00FA5701">
      <w:pPr>
        <w:spacing w:after="120" w:line="240" w:lineRule="auto"/>
        <w:ind w:left="510"/>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t>محمد بن محمد بن الحسين البغدادي أبو يعلى</w:t>
      </w:r>
      <w:r w:rsidRPr="00FA5701">
        <w:rPr>
          <w:rFonts w:asciiTheme="majorBidi" w:hAnsiTheme="majorBidi" w:cstheme="majorBidi"/>
          <w:b/>
          <w:bCs/>
          <w:sz w:val="18"/>
          <w:szCs w:val="18"/>
          <w:lang w:bidi="ar-EG"/>
        </w:rPr>
        <w:t xml:space="preserve"> </w:t>
      </w:r>
      <w:r w:rsidRPr="00FA5701">
        <w:rPr>
          <w:rFonts w:asciiTheme="majorBidi" w:hAnsiTheme="majorBidi" w:cstheme="majorBidi"/>
          <w:b/>
          <w:bCs/>
          <w:sz w:val="18"/>
          <w:szCs w:val="18"/>
          <w:rtl/>
          <w:lang w:bidi="ar-EG"/>
        </w:rPr>
        <w:t>الحنبلي، مطبعة السّنة المحمدية، 1371هـ.</w:t>
      </w:r>
    </w:p>
    <w:p w:rsidR="00FA5701" w:rsidRPr="00FA5701" w:rsidRDefault="00FA5701" w:rsidP="00FA5701">
      <w:pPr>
        <w:numPr>
          <w:ilvl w:val="0"/>
          <w:numId w:val="1"/>
        </w:numPr>
        <w:spacing w:after="120" w:line="240" w:lineRule="auto"/>
        <w:jc w:val="lowKashida"/>
        <w:rPr>
          <w:rFonts w:asciiTheme="majorBidi" w:hAnsiTheme="majorBidi" w:cstheme="majorBidi"/>
          <w:b/>
          <w:bCs/>
          <w:sz w:val="18"/>
          <w:szCs w:val="18"/>
          <w:lang w:bidi="ar-EG"/>
        </w:rPr>
      </w:pPr>
      <w:r w:rsidRPr="00FA5701">
        <w:rPr>
          <w:rFonts w:asciiTheme="majorBidi" w:hAnsiTheme="majorBidi" w:cstheme="majorBidi"/>
          <w:b/>
          <w:bCs/>
          <w:sz w:val="18"/>
          <w:szCs w:val="18"/>
          <w:rtl/>
          <w:lang w:bidi="ar-EG"/>
        </w:rPr>
        <w:t xml:space="preserve">(الطبقات الكبرى) </w:t>
      </w:r>
    </w:p>
    <w:p w:rsidR="00FA5701" w:rsidRPr="00FA5701" w:rsidRDefault="00FA5701" w:rsidP="00FA5701">
      <w:pPr>
        <w:spacing w:after="120" w:line="240" w:lineRule="auto"/>
        <w:ind w:left="510"/>
        <w:jc w:val="lowKashida"/>
        <w:rPr>
          <w:rFonts w:asciiTheme="majorBidi" w:hAnsiTheme="majorBidi" w:cstheme="majorBidi"/>
          <w:b/>
          <w:bCs/>
          <w:sz w:val="18"/>
          <w:szCs w:val="18"/>
          <w:rtl/>
          <w:lang w:bidi="ar-EG"/>
        </w:rPr>
      </w:pPr>
      <w:r w:rsidRPr="00FA5701">
        <w:rPr>
          <w:rFonts w:asciiTheme="majorBidi" w:hAnsiTheme="majorBidi" w:cstheme="majorBidi"/>
          <w:b/>
          <w:bCs/>
          <w:sz w:val="18"/>
          <w:szCs w:val="18"/>
          <w:rtl/>
          <w:lang w:bidi="ar-EG"/>
        </w:rPr>
        <w:lastRenderedPageBreak/>
        <w:t xml:space="preserve">ابن سعد محمد بن سعد، تحقيق: إحسان عباس، دار بيروت </w:t>
      </w:r>
      <w:r w:rsidRPr="00FA5701">
        <w:rPr>
          <w:rFonts w:asciiTheme="majorBidi" w:hAnsiTheme="majorBidi" w:cstheme="majorBidi"/>
          <w:b/>
          <w:bCs/>
          <w:sz w:val="18"/>
          <w:szCs w:val="18"/>
          <w:rtl/>
          <w:lang w:bidi="ar-EG"/>
        </w:rPr>
        <w:lastRenderedPageBreak/>
        <w:t>للطباعة والنشر، 1405هـ.</w:t>
      </w:r>
      <w:r w:rsidRPr="00FA5701">
        <w:rPr>
          <w:rFonts w:asciiTheme="majorBidi" w:hAnsiTheme="majorBidi" w:cstheme="majorBidi"/>
          <w:b/>
          <w:bCs/>
          <w:sz w:val="18"/>
          <w:szCs w:val="18"/>
          <w:lang w:bidi="ar-EG"/>
        </w:rPr>
        <w:t xml:space="preserve"> </w:t>
      </w:r>
    </w:p>
    <w:p w:rsidR="00FA5701" w:rsidRDefault="00FA5701" w:rsidP="00FA5701">
      <w:pPr>
        <w:rPr>
          <w:rtl/>
          <w:lang w:bidi="ar-EG"/>
        </w:rPr>
        <w:sectPr w:rsidR="00FA5701" w:rsidSect="00FA5701">
          <w:type w:val="continuous"/>
          <w:pgSz w:w="11906" w:h="16838"/>
          <w:pgMar w:top="1440" w:right="1440" w:bottom="1440" w:left="1440" w:header="720" w:footer="720" w:gutter="0"/>
          <w:cols w:num="2" w:space="720"/>
          <w:bidi/>
          <w:rtlGutter/>
          <w:docGrid w:linePitch="360"/>
        </w:sectPr>
      </w:pPr>
    </w:p>
    <w:p w:rsidR="00FA5701" w:rsidRDefault="00FA5701" w:rsidP="00FA5701">
      <w:pPr>
        <w:rPr>
          <w:lang w:bidi="ar-EG"/>
        </w:rPr>
      </w:pPr>
    </w:p>
    <w:sectPr w:rsidR="00FA5701" w:rsidSect="00FA570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5701"/>
    <w:rsid w:val="00431BEB"/>
    <w:rsid w:val="005E76C1"/>
    <w:rsid w:val="007B5274"/>
    <w:rsid w:val="007E639D"/>
    <w:rsid w:val="00FA57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FA570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A5701"/>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FA57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57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1F30-E7FC-4EFA-94D3-DE5DF182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2013-06-13T21:54:00Z</dcterms:created>
  <dcterms:modified xsi:type="dcterms:W3CDTF">2013-06-16T12:02:00Z</dcterms:modified>
</cp:coreProperties>
</file>