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310" w:rsidRDefault="000F5310" w:rsidP="000F5310">
      <w:pPr>
        <w:suppressAutoHyphens/>
        <w:spacing w:after="120" w:line="240" w:lineRule="auto"/>
        <w:rPr>
          <w:rFonts w:ascii="Times New Roman" w:eastAsia="MS Mincho" w:hAnsi="Times New Roman" w:cs="Times New Roman"/>
          <w:i/>
          <w:iCs/>
          <w:sz w:val="48"/>
          <w:szCs w:val="48"/>
          <w:rtl/>
        </w:rPr>
      </w:pPr>
      <w:r>
        <w:rPr>
          <w:rFonts w:ascii="Times New Roman" w:eastAsia="MS Mincho" w:hAnsi="Times New Roman" w:cs="Times New Roman" w:hint="cs"/>
          <w:i/>
          <w:iCs/>
          <w:sz w:val="48"/>
          <w:szCs w:val="48"/>
          <w:rtl/>
        </w:rPr>
        <w:t xml:space="preserve">                </w:t>
      </w:r>
      <w:r>
        <w:rPr>
          <w:rFonts w:ascii="Times New Roman" w:eastAsia="MS Mincho" w:hAnsi="Times New Roman" w:cs="Times New Roman" w:hint="cs"/>
          <w:i/>
          <w:iCs/>
          <w:sz w:val="48"/>
          <w:szCs w:val="48"/>
          <w:rtl/>
        </w:rPr>
        <w:t xml:space="preserve">دراسات </w:t>
      </w:r>
      <w:proofErr w:type="spellStart"/>
      <w:r>
        <w:rPr>
          <w:rFonts w:ascii="Times New Roman" w:eastAsia="MS Mincho" w:hAnsi="Times New Roman" w:cs="Times New Roman" w:hint="cs"/>
          <w:i/>
          <w:iCs/>
          <w:sz w:val="48"/>
          <w:szCs w:val="48"/>
          <w:rtl/>
        </w:rPr>
        <w:t>فى</w:t>
      </w:r>
      <w:proofErr w:type="spellEnd"/>
      <w:r>
        <w:rPr>
          <w:rFonts w:ascii="Times New Roman" w:eastAsia="MS Mincho" w:hAnsi="Times New Roman" w:cs="Times New Roman" w:hint="cs"/>
          <w:i/>
          <w:iCs/>
          <w:sz w:val="48"/>
          <w:szCs w:val="48"/>
          <w:rtl/>
        </w:rPr>
        <w:t xml:space="preserve"> لطائف الإشارات للإمام </w:t>
      </w:r>
      <w:proofErr w:type="spellStart"/>
      <w:r>
        <w:rPr>
          <w:rFonts w:ascii="Times New Roman" w:eastAsia="MS Mincho" w:hAnsi="Times New Roman" w:cs="Times New Roman" w:hint="cs"/>
          <w:i/>
          <w:iCs/>
          <w:sz w:val="48"/>
          <w:szCs w:val="48"/>
          <w:rtl/>
        </w:rPr>
        <w:t>القسطلانى</w:t>
      </w:r>
      <w:proofErr w:type="spellEnd"/>
    </w:p>
    <w:p w:rsidR="000F5310" w:rsidRDefault="000F5310" w:rsidP="000F5310">
      <w:pPr>
        <w:tabs>
          <w:tab w:val="left" w:pos="2179"/>
          <w:tab w:val="center" w:pos="5576"/>
        </w:tabs>
        <w:suppressAutoHyphens/>
        <w:spacing w:after="120" w:line="240" w:lineRule="auto"/>
        <w:ind w:left="720"/>
        <w:rPr>
          <w:rFonts w:ascii="Times New Roman" w:eastAsia="MS Mincho" w:hAnsi="Times New Roman" w:cs="Times New Roman"/>
          <w:i/>
          <w:iCs/>
          <w:sz w:val="48"/>
          <w:szCs w:val="48"/>
          <w:rtl/>
        </w:rPr>
      </w:pPr>
      <w:r>
        <w:rPr>
          <w:rFonts w:ascii="Times New Roman" w:eastAsia="MS Mincho" w:hAnsi="Times New Roman" w:cs="Times New Roman"/>
          <w:i/>
          <w:iCs/>
          <w:sz w:val="48"/>
          <w:szCs w:val="48"/>
          <w:rtl/>
        </w:rPr>
        <w:tab/>
      </w:r>
      <w:r>
        <w:rPr>
          <w:rFonts w:ascii="Times New Roman" w:eastAsia="MS Mincho" w:hAnsi="Times New Roman" w:cs="Times New Roman" w:hint="cs"/>
          <w:i/>
          <w:iCs/>
          <w:sz w:val="48"/>
          <w:szCs w:val="48"/>
          <w:rtl/>
        </w:rPr>
        <w:t xml:space="preserve">            </w:t>
      </w:r>
      <w:r>
        <w:rPr>
          <w:rFonts w:ascii="Times New Roman" w:eastAsia="MS Mincho" w:hAnsi="Times New Roman" w:cs="Times New Roman" w:hint="cs"/>
          <w:i/>
          <w:iCs/>
          <w:sz w:val="48"/>
          <w:szCs w:val="48"/>
          <w:rtl/>
        </w:rPr>
        <w:t xml:space="preserve">  </w:t>
      </w:r>
      <w:r>
        <w:rPr>
          <w:rFonts w:ascii="Times New Roman" w:eastAsia="MS Mincho" w:hAnsi="Times New Roman" w:cs="Times New Roman" w:hint="cs"/>
          <w:i/>
          <w:iCs/>
          <w:sz w:val="48"/>
          <w:szCs w:val="48"/>
          <w:rtl/>
        </w:rPr>
        <w:t xml:space="preserve"> </w:t>
      </w:r>
      <w:r>
        <w:rPr>
          <w:rFonts w:ascii="Times New Roman" w:eastAsia="MS Mincho" w:hAnsi="Times New Roman" w:cs="Times New Roman" w:hint="cs"/>
          <w:i/>
          <w:iCs/>
          <w:sz w:val="48"/>
          <w:szCs w:val="48"/>
          <w:rtl/>
        </w:rPr>
        <w:t xml:space="preserve"> </w:t>
      </w:r>
      <w:r>
        <w:rPr>
          <w:rFonts w:ascii="Times New Roman" w:eastAsia="MS Mincho" w:hAnsi="Times New Roman" w:cs="Times New Roman" w:hint="cs"/>
          <w:i/>
          <w:iCs/>
          <w:sz w:val="48"/>
          <w:szCs w:val="48"/>
          <w:rtl/>
        </w:rPr>
        <w:t xml:space="preserve">   الأعلام (</w:t>
      </w:r>
      <w:r>
        <w:rPr>
          <w:rFonts w:ascii="Times New Roman" w:eastAsia="MS Mincho" w:hAnsi="Times New Roman" w:cs="Times New Roman" w:hint="cs"/>
          <w:i/>
          <w:iCs/>
          <w:sz w:val="48"/>
          <w:szCs w:val="48"/>
          <w:rtl/>
        </w:rPr>
        <w:t>4</w:t>
      </w:r>
      <w:r>
        <w:rPr>
          <w:rFonts w:ascii="Times New Roman" w:eastAsia="MS Mincho" w:hAnsi="Times New Roman" w:cs="Times New Roman" w:hint="cs"/>
          <w:i/>
          <w:iCs/>
          <w:sz w:val="48"/>
          <w:szCs w:val="48"/>
          <w:rtl/>
        </w:rPr>
        <w:t xml:space="preserve">) </w:t>
      </w:r>
    </w:p>
    <w:p w:rsidR="000F5310" w:rsidRPr="000F1A85" w:rsidRDefault="000F5310" w:rsidP="000F5310">
      <w:pPr>
        <w:tabs>
          <w:tab w:val="left" w:pos="2179"/>
          <w:tab w:val="left" w:pos="3791"/>
          <w:tab w:val="center" w:pos="5576"/>
        </w:tabs>
        <w:suppressAutoHyphens/>
        <w:spacing w:after="120" w:line="240" w:lineRule="auto"/>
        <w:ind w:left="720"/>
        <w:rPr>
          <w:rFonts w:ascii="Times New Roman" w:eastAsia="MS Mincho" w:hAnsi="Times New Roman" w:cs="Times New Roman"/>
          <w:i/>
          <w:iCs/>
          <w:sz w:val="28"/>
          <w:szCs w:val="28"/>
          <w:rtl/>
        </w:rPr>
      </w:pPr>
      <w:r>
        <w:rPr>
          <w:rFonts w:ascii="Times New Roman" w:eastAsia="MS Mincho" w:hAnsi="Times New Roman" w:cs="Times New Roman" w:hint="cs"/>
          <w:i/>
          <w:iCs/>
          <w:sz w:val="28"/>
          <w:szCs w:val="28"/>
          <w:rtl/>
        </w:rPr>
        <w:t xml:space="preserve">                     </w:t>
      </w:r>
      <w:r>
        <w:rPr>
          <w:rFonts w:ascii="Times New Roman" w:eastAsia="MS Mincho" w:hAnsi="Times New Roman" w:cs="Times New Roman"/>
          <w:i/>
          <w:iCs/>
          <w:sz w:val="28"/>
          <w:szCs w:val="28"/>
          <w:rtl/>
        </w:rPr>
        <w:tab/>
      </w:r>
      <w:r>
        <w:rPr>
          <w:rFonts w:ascii="Times New Roman" w:eastAsia="MS Mincho" w:hAnsi="Times New Roman" w:cs="Times New Roman" w:hint="cs"/>
          <w:i/>
          <w:iCs/>
          <w:sz w:val="28"/>
          <w:szCs w:val="28"/>
          <w:rtl/>
        </w:rPr>
        <w:t xml:space="preserve">  </w:t>
      </w:r>
      <w:r>
        <w:rPr>
          <w:rFonts w:ascii="Times New Roman" w:eastAsia="MS Mincho" w:hAnsi="Times New Roman" w:cs="Times New Roman" w:hint="cs"/>
          <w:i/>
          <w:iCs/>
          <w:sz w:val="28"/>
          <w:szCs w:val="28"/>
          <w:rtl/>
        </w:rPr>
        <w:t xml:space="preserve">  </w:t>
      </w:r>
      <w:r w:rsidRPr="000F1A85">
        <w:rPr>
          <w:rFonts w:ascii="Times New Roman" w:eastAsia="MS Mincho" w:hAnsi="Times New Roman" w:cs="Times New Roman" w:hint="cs"/>
          <w:i/>
          <w:iCs/>
          <w:sz w:val="28"/>
          <w:szCs w:val="28"/>
          <w:rtl/>
        </w:rPr>
        <w:t xml:space="preserve">بحث </w:t>
      </w:r>
      <w:proofErr w:type="spellStart"/>
      <w:r w:rsidRPr="000F1A85">
        <w:rPr>
          <w:rFonts w:ascii="Times New Roman" w:eastAsia="MS Mincho" w:hAnsi="Times New Roman" w:cs="Times New Roman" w:hint="cs"/>
          <w:i/>
          <w:iCs/>
          <w:sz w:val="28"/>
          <w:szCs w:val="28"/>
          <w:rtl/>
        </w:rPr>
        <w:t>فى</w:t>
      </w:r>
      <w:proofErr w:type="spellEnd"/>
      <w:r w:rsidRPr="000F1A85">
        <w:rPr>
          <w:rFonts w:ascii="Times New Roman" w:eastAsia="MS Mincho" w:hAnsi="Times New Roman" w:cs="Times New Roman" w:hint="cs"/>
          <w:i/>
          <w:iCs/>
          <w:sz w:val="28"/>
          <w:szCs w:val="28"/>
          <w:rtl/>
        </w:rPr>
        <w:t xml:space="preserve"> التفسير وعلوم القرآن</w:t>
      </w:r>
      <w:r>
        <w:rPr>
          <w:rFonts w:ascii="Times New Roman" w:eastAsia="MS Mincho" w:hAnsi="Times New Roman" w:cs="Times New Roman" w:hint="cs"/>
          <w:i/>
          <w:iCs/>
          <w:sz w:val="28"/>
          <w:szCs w:val="28"/>
          <w:rtl/>
        </w:rPr>
        <w:t xml:space="preserve">  </w:t>
      </w:r>
    </w:p>
    <w:p w:rsidR="000F5310" w:rsidRDefault="000F5310" w:rsidP="000F5310">
      <w:pPr>
        <w:pStyle w:val="papersubtitle"/>
        <w:tabs>
          <w:tab w:val="left" w:pos="4532"/>
          <w:tab w:val="center" w:pos="5576"/>
        </w:tabs>
        <w:bidi/>
        <w:jc w:val="left"/>
        <w:rPr>
          <w:rFonts w:hint="cs"/>
          <w:rtl/>
          <w:lang w:bidi="ar-EG"/>
        </w:rPr>
      </w:pPr>
      <w:r>
        <w:rPr>
          <w:rFonts w:hint="cs"/>
          <w:rtl/>
        </w:rPr>
        <w:t xml:space="preserve"> </w:t>
      </w:r>
    </w:p>
    <w:p w:rsidR="000F5310" w:rsidRPr="000F5310" w:rsidRDefault="000F5310" w:rsidP="000F5310">
      <w:pPr>
        <w:tabs>
          <w:tab w:val="left" w:pos="2179"/>
          <w:tab w:val="left" w:pos="3791"/>
          <w:tab w:val="center" w:pos="5576"/>
        </w:tabs>
        <w:suppressAutoHyphens/>
        <w:spacing w:after="120" w:line="240" w:lineRule="auto"/>
        <w:ind w:left="720"/>
        <w:jc w:val="center"/>
        <w:rPr>
          <w:rFonts w:ascii="Times New Roman" w:eastAsia="MS Mincho" w:hAnsi="Times New Roman" w:cs="Times New Roman"/>
          <w:i/>
          <w:iCs/>
        </w:rPr>
      </w:pPr>
      <w:r w:rsidRPr="000F5310">
        <w:rPr>
          <w:rFonts w:ascii="Times New Roman" w:eastAsia="MS Mincho" w:hAnsi="Times New Roman" w:cs="Times New Roman" w:hint="cs"/>
          <w:i/>
          <w:iCs/>
          <w:rtl/>
        </w:rPr>
        <w:t xml:space="preserve">د/ </w:t>
      </w:r>
      <w:proofErr w:type="spellStart"/>
      <w:r w:rsidRPr="000F5310">
        <w:rPr>
          <w:rFonts w:ascii="Times New Roman" w:eastAsia="MS Mincho" w:hAnsi="Times New Roman" w:cs="Times New Roman" w:hint="cs"/>
          <w:i/>
          <w:iCs/>
          <w:rtl/>
        </w:rPr>
        <w:t>الصافى</w:t>
      </w:r>
      <w:proofErr w:type="spellEnd"/>
      <w:r w:rsidRPr="000F5310">
        <w:rPr>
          <w:rFonts w:ascii="Times New Roman" w:eastAsia="MS Mincho" w:hAnsi="Times New Roman" w:cs="Times New Roman" w:hint="cs"/>
          <w:i/>
          <w:iCs/>
          <w:rtl/>
        </w:rPr>
        <w:t xml:space="preserve"> صلاح </w:t>
      </w:r>
      <w:proofErr w:type="spellStart"/>
      <w:r w:rsidRPr="000F5310">
        <w:rPr>
          <w:rFonts w:ascii="Times New Roman" w:eastAsia="MS Mincho" w:hAnsi="Times New Roman" w:cs="Times New Roman" w:hint="cs"/>
          <w:i/>
          <w:iCs/>
          <w:rtl/>
        </w:rPr>
        <w:t>الصافى</w:t>
      </w:r>
      <w:proofErr w:type="spellEnd"/>
    </w:p>
    <w:p w:rsidR="000F5310" w:rsidRPr="000F5310" w:rsidRDefault="000F5310" w:rsidP="000F5310">
      <w:pPr>
        <w:tabs>
          <w:tab w:val="left" w:pos="2179"/>
          <w:tab w:val="left" w:pos="3791"/>
          <w:tab w:val="center" w:pos="5576"/>
        </w:tabs>
        <w:suppressAutoHyphens/>
        <w:spacing w:after="120" w:line="240" w:lineRule="auto"/>
        <w:ind w:left="720"/>
        <w:jc w:val="center"/>
        <w:rPr>
          <w:rFonts w:ascii="Times New Roman" w:eastAsia="MS Mincho" w:hAnsi="Times New Roman" w:cs="Times New Roman"/>
          <w:i/>
          <w:iCs/>
        </w:rPr>
      </w:pPr>
      <w:r w:rsidRPr="000F5310">
        <w:rPr>
          <w:rFonts w:ascii="Times New Roman" w:eastAsia="MS Mincho" w:hAnsi="Times New Roman" w:cs="Times New Roman" w:hint="cs"/>
          <w:i/>
          <w:iCs/>
          <w:rtl/>
        </w:rPr>
        <w:t>قسم التفسير وعلوم القرآن</w:t>
      </w:r>
    </w:p>
    <w:p w:rsidR="000F5310" w:rsidRPr="000F5310" w:rsidRDefault="000F5310" w:rsidP="000F5310">
      <w:pPr>
        <w:tabs>
          <w:tab w:val="left" w:pos="2179"/>
          <w:tab w:val="left" w:pos="3791"/>
          <w:tab w:val="center" w:pos="5576"/>
        </w:tabs>
        <w:suppressAutoHyphens/>
        <w:spacing w:after="120" w:line="240" w:lineRule="auto"/>
        <w:ind w:left="720"/>
        <w:jc w:val="center"/>
        <w:rPr>
          <w:rFonts w:ascii="Times New Roman" w:eastAsia="MS Mincho" w:hAnsi="Times New Roman" w:cs="Times New Roman"/>
          <w:i/>
          <w:iCs/>
          <w:rtl/>
        </w:rPr>
      </w:pPr>
      <w:proofErr w:type="gramStart"/>
      <w:r w:rsidRPr="000F5310">
        <w:rPr>
          <w:rFonts w:ascii="Times New Roman" w:eastAsia="MS Mincho" w:hAnsi="Times New Roman" w:cs="Times New Roman" w:hint="cs"/>
          <w:i/>
          <w:iCs/>
          <w:rtl/>
        </w:rPr>
        <w:t>كلية</w:t>
      </w:r>
      <w:proofErr w:type="gramEnd"/>
      <w:r w:rsidRPr="000F5310">
        <w:rPr>
          <w:rFonts w:ascii="Times New Roman" w:eastAsia="MS Mincho" w:hAnsi="Times New Roman" w:cs="Times New Roman" w:hint="cs"/>
          <w:i/>
          <w:iCs/>
          <w:rtl/>
        </w:rPr>
        <w:t xml:space="preserve"> العلوم الإسلامية </w:t>
      </w:r>
      <w:r w:rsidRPr="000F5310">
        <w:rPr>
          <w:rFonts w:ascii="Times New Roman" w:eastAsia="MS Mincho" w:hAnsi="Times New Roman" w:cs="Times New Roman"/>
          <w:i/>
          <w:iCs/>
          <w:rtl/>
        </w:rPr>
        <w:t>–</w:t>
      </w:r>
      <w:r w:rsidRPr="000F5310">
        <w:rPr>
          <w:rFonts w:ascii="Times New Roman" w:eastAsia="MS Mincho" w:hAnsi="Times New Roman" w:cs="Times New Roman" w:hint="cs"/>
          <w:i/>
          <w:iCs/>
          <w:rtl/>
        </w:rPr>
        <w:t xml:space="preserve"> جامعة المدينة العالمية</w:t>
      </w:r>
    </w:p>
    <w:p w:rsidR="000F5310" w:rsidRPr="000F5310" w:rsidRDefault="000F5310" w:rsidP="000F5310">
      <w:pPr>
        <w:tabs>
          <w:tab w:val="left" w:pos="2179"/>
          <w:tab w:val="left" w:pos="3791"/>
          <w:tab w:val="center" w:pos="5576"/>
        </w:tabs>
        <w:suppressAutoHyphens/>
        <w:spacing w:after="120" w:line="240" w:lineRule="auto"/>
        <w:ind w:left="720"/>
        <w:jc w:val="center"/>
        <w:rPr>
          <w:rFonts w:ascii="Times New Roman" w:eastAsia="MS Mincho" w:hAnsi="Times New Roman" w:cs="Times New Roman"/>
          <w:i/>
          <w:iCs/>
          <w:rtl/>
        </w:rPr>
      </w:pPr>
      <w:r w:rsidRPr="000F5310">
        <w:rPr>
          <w:rFonts w:ascii="Times New Roman" w:eastAsia="MS Mincho" w:hAnsi="Times New Roman" w:cs="Times New Roman" w:hint="cs"/>
          <w:i/>
          <w:iCs/>
          <w:rtl/>
        </w:rPr>
        <w:t xml:space="preserve">شاه </w:t>
      </w:r>
      <w:proofErr w:type="gramStart"/>
      <w:r w:rsidRPr="000F5310">
        <w:rPr>
          <w:rFonts w:ascii="Times New Roman" w:eastAsia="MS Mincho" w:hAnsi="Times New Roman" w:cs="Times New Roman" w:hint="cs"/>
          <w:i/>
          <w:iCs/>
          <w:rtl/>
        </w:rPr>
        <w:t>علم</w:t>
      </w:r>
      <w:proofErr w:type="gramEnd"/>
      <w:r w:rsidRPr="000F5310">
        <w:rPr>
          <w:rFonts w:ascii="Times New Roman" w:eastAsia="MS Mincho" w:hAnsi="Times New Roman" w:cs="Times New Roman" w:hint="cs"/>
          <w:i/>
          <w:iCs/>
          <w:rtl/>
        </w:rPr>
        <w:t xml:space="preserve"> </w:t>
      </w:r>
      <w:r w:rsidRPr="000F5310">
        <w:rPr>
          <w:rFonts w:ascii="Times New Roman" w:eastAsia="MS Mincho" w:hAnsi="Times New Roman" w:cs="Times New Roman"/>
          <w:i/>
          <w:iCs/>
          <w:rtl/>
        </w:rPr>
        <w:t>–</w:t>
      </w:r>
      <w:r w:rsidRPr="000F5310">
        <w:rPr>
          <w:rFonts w:ascii="Times New Roman" w:eastAsia="MS Mincho" w:hAnsi="Times New Roman" w:cs="Times New Roman" w:hint="cs"/>
          <w:i/>
          <w:iCs/>
          <w:rtl/>
        </w:rPr>
        <w:t xml:space="preserve"> ماليزيا</w:t>
      </w:r>
    </w:p>
    <w:p w:rsidR="000F5310" w:rsidRPr="000F5310" w:rsidRDefault="000F5310" w:rsidP="000F5310">
      <w:pPr>
        <w:tabs>
          <w:tab w:val="left" w:pos="2179"/>
          <w:tab w:val="left" w:pos="3791"/>
          <w:tab w:val="center" w:pos="5576"/>
        </w:tabs>
        <w:suppressAutoHyphens/>
        <w:spacing w:after="120" w:line="240" w:lineRule="auto"/>
        <w:ind w:left="720"/>
        <w:jc w:val="center"/>
        <w:rPr>
          <w:rFonts w:ascii="Times New Roman" w:eastAsia="MS Mincho" w:hAnsi="Times New Roman" w:cs="Times New Roman"/>
          <w:i/>
          <w:iCs/>
        </w:rPr>
      </w:pPr>
      <w:hyperlink r:id="rId8" w:history="1">
        <w:r w:rsidRPr="000F5310">
          <w:rPr>
            <w:rFonts w:ascii="Times New Roman" w:eastAsia="MS Mincho" w:hAnsi="Times New Roman" w:cs="Times New Roman"/>
            <w:i/>
            <w:iCs/>
          </w:rPr>
          <w:t>Safy.salah@ims.mediu.edu.my</w:t>
        </w:r>
      </w:hyperlink>
    </w:p>
    <w:p w:rsidR="000F5310" w:rsidRPr="000F5310" w:rsidRDefault="000F5310" w:rsidP="000F5310">
      <w:pPr>
        <w:tabs>
          <w:tab w:val="left" w:pos="2179"/>
          <w:tab w:val="left" w:pos="3791"/>
          <w:tab w:val="center" w:pos="5576"/>
        </w:tabs>
        <w:suppressAutoHyphens/>
        <w:spacing w:after="120" w:line="240" w:lineRule="auto"/>
        <w:ind w:left="720"/>
        <w:jc w:val="center"/>
        <w:rPr>
          <w:rFonts w:ascii="Times New Roman" w:eastAsia="MS Mincho" w:hAnsi="Times New Roman" w:cs="Times New Roman"/>
          <w:i/>
          <w:iCs/>
        </w:rPr>
      </w:pPr>
      <w:r w:rsidRPr="000F5310">
        <w:rPr>
          <w:rFonts w:ascii="Times New Roman" w:eastAsia="MS Mincho" w:hAnsi="Times New Roman" w:cs="Times New Roman"/>
          <w:i/>
          <w:iCs/>
        </w:rPr>
        <w:t>dr.safy.salah@mediu.ws</w:t>
      </w:r>
    </w:p>
    <w:p w:rsidR="000F5310" w:rsidRDefault="000F5310" w:rsidP="000F5310">
      <w:pPr>
        <w:rPr>
          <w:rFonts w:ascii="Times New Roman" w:eastAsia="SimSun" w:hAnsi="Times New Roman" w:cs="Times New Roman"/>
          <w:sz w:val="20"/>
          <w:szCs w:val="20"/>
          <w:lang w:eastAsia="zh-CN"/>
        </w:rPr>
      </w:pPr>
    </w:p>
    <w:p w:rsidR="007E0AB0" w:rsidRPr="000F5310" w:rsidRDefault="007E0AB0" w:rsidP="000F5310">
      <w:pPr>
        <w:rPr>
          <w:rFonts w:ascii="Times New Roman" w:eastAsia="SimSun" w:hAnsi="Times New Roman" w:cs="Times New Roman"/>
          <w:sz w:val="20"/>
          <w:szCs w:val="20"/>
          <w:lang w:eastAsia="zh-CN"/>
        </w:rPr>
        <w:sectPr w:rsidR="007E0AB0" w:rsidRPr="000F5310" w:rsidSect="00251720">
          <w:type w:val="continuous"/>
          <w:pgSz w:w="11906" w:h="16838"/>
          <w:pgMar w:top="1080" w:right="737" w:bottom="2432" w:left="737" w:header="720" w:footer="720" w:gutter="0"/>
          <w:cols w:space="720"/>
          <w:bidi/>
          <w:docGrid w:linePitch="360"/>
        </w:sectPr>
      </w:pPr>
    </w:p>
    <w:p w:rsidR="000F5310" w:rsidRPr="001F4926" w:rsidRDefault="007E0AB0" w:rsidP="000F5310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754D36">
        <w:rPr>
          <w:rFonts w:ascii="Times New Roman" w:eastAsia="SimSun" w:hAnsi="Times New Roman" w:cs="Times New Roman" w:hint="cs"/>
          <w:b/>
          <w:bCs/>
          <w:i/>
          <w:iCs/>
          <w:sz w:val="18"/>
          <w:szCs w:val="18"/>
          <w:rtl/>
          <w:lang w:eastAsia="zh-CN"/>
        </w:rPr>
        <w:lastRenderedPageBreak/>
        <w:t>خلاصة</w:t>
      </w:r>
      <w:r w:rsidRPr="00754D36">
        <w:rPr>
          <w:rFonts w:ascii="Times New Roman" w:eastAsia="Times New Roman" w:hAnsi="Times New Roman" w:cs="Times New Roman"/>
          <w:b/>
          <w:bCs/>
          <w:sz w:val="18"/>
          <w:szCs w:val="18"/>
          <w:lang w:eastAsia="zh-CN"/>
        </w:rPr>
        <w:t>—</w:t>
      </w:r>
      <w:r w:rsidRPr="00754D3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هذا البحث </w:t>
      </w:r>
      <w:r w:rsidR="000F5310" w:rsidRPr="00754D3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يبحث في </w:t>
      </w:r>
      <w:r w:rsid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التعريف بالأعلام </w:t>
      </w:r>
      <w:proofErr w:type="spellStart"/>
      <w:r w:rsid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التى</w:t>
      </w:r>
      <w:proofErr w:type="spellEnd"/>
      <w:r w:rsid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ذكرها الإمام </w:t>
      </w:r>
      <w:proofErr w:type="spellStart"/>
      <w:r w:rsid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القسطلانى</w:t>
      </w:r>
      <w:proofErr w:type="spellEnd"/>
      <w:r w:rsid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</w:t>
      </w:r>
      <w:proofErr w:type="spellStart"/>
      <w:r w:rsid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فى</w:t>
      </w:r>
      <w:proofErr w:type="spellEnd"/>
      <w:r w:rsid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لطائف الإشارات</w:t>
      </w:r>
    </w:p>
    <w:p w:rsidR="000F5310" w:rsidRPr="00754D36" w:rsidRDefault="000F5310" w:rsidP="000F5310">
      <w:pPr>
        <w:suppressAutoHyphens/>
        <w:spacing w:line="240" w:lineRule="auto"/>
        <w:ind w:firstLine="170"/>
        <w:jc w:val="both"/>
        <w:rPr>
          <w:rFonts w:ascii="Times New Roman" w:eastAsia="SimSun" w:hAnsi="Times New Roman" w:cs="Times New Roman"/>
          <w:b/>
          <w:bCs/>
          <w:iCs/>
          <w:sz w:val="18"/>
          <w:szCs w:val="18"/>
          <w:rtl/>
        </w:rPr>
      </w:pPr>
      <w:r w:rsidRPr="001F492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الكلمات المفتاحية : </w:t>
      </w:r>
      <w:proofErr w:type="spellStart"/>
      <w:r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الجعفى</w:t>
      </w:r>
      <w:proofErr w:type="spellEnd"/>
      <w:r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>–</w:t>
      </w:r>
      <w:r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الدورى</w:t>
      </w:r>
      <w:proofErr w:type="spellEnd"/>
      <w:r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>–</w:t>
      </w:r>
      <w:r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الزيات - العمرى</w:t>
      </w:r>
    </w:p>
    <w:p w:rsidR="000F5310" w:rsidRPr="000F1A85" w:rsidRDefault="000F5310" w:rsidP="000F5310">
      <w:pPr>
        <w:pStyle w:val="a5"/>
        <w:keepNext/>
        <w:keepLines/>
        <w:numPr>
          <w:ilvl w:val="0"/>
          <w:numId w:val="2"/>
        </w:numPr>
        <w:tabs>
          <w:tab w:val="num" w:pos="0"/>
          <w:tab w:val="left" w:pos="216"/>
          <w:tab w:val="left" w:pos="283"/>
          <w:tab w:val="left" w:pos="340"/>
          <w:tab w:val="left" w:pos="397"/>
        </w:tabs>
        <w:suppressAutoHyphens/>
        <w:spacing w:before="160" w:after="80" w:line="240" w:lineRule="auto"/>
        <w:jc w:val="center"/>
        <w:outlineLvl w:val="0"/>
        <w:rPr>
          <w:rFonts w:ascii="Times New Roman" w:eastAsia="SimSun" w:hAnsi="Times New Roman" w:cs="Times New Roman"/>
          <w:b/>
          <w:bCs/>
          <w:smallCaps/>
          <w:sz w:val="20"/>
          <w:szCs w:val="20"/>
          <w:rtl/>
        </w:rPr>
      </w:pPr>
      <w:r w:rsidRPr="000F1A85">
        <w:rPr>
          <w:rFonts w:ascii="Times New Roman" w:eastAsia="SimSun" w:hAnsi="Times New Roman" w:cs="Times New Roman" w:hint="cs"/>
          <w:b/>
          <w:bCs/>
          <w:i/>
          <w:iCs/>
          <w:smallCaps/>
          <w:sz w:val="20"/>
          <w:szCs w:val="20"/>
          <w:rtl/>
        </w:rPr>
        <w:t>المقدمة</w:t>
      </w:r>
    </w:p>
    <w:p w:rsidR="000F5310" w:rsidRPr="000F1A85" w:rsidRDefault="000F5310" w:rsidP="000F5310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إن لكل علم رجاله ,, ولكل فن أعلامه , ولا ريب </w:t>
      </w:r>
      <w:proofErr w:type="spellStart"/>
      <w:r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فى</w:t>
      </w:r>
      <w:proofErr w:type="spellEnd"/>
      <w:r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أن الإمام </w:t>
      </w:r>
      <w:proofErr w:type="spellStart"/>
      <w:r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القسطلانى</w:t>
      </w:r>
      <w:proofErr w:type="spellEnd"/>
      <w:r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رحمه الله قد توسع </w:t>
      </w:r>
      <w:proofErr w:type="spellStart"/>
      <w:r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فى</w:t>
      </w:r>
      <w:proofErr w:type="spellEnd"/>
      <w:r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لطائف الإشارات  وذكر فيه  جملة من العلوم </w:t>
      </w:r>
      <w:proofErr w:type="spellStart"/>
      <w:r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التى</w:t>
      </w:r>
      <w:proofErr w:type="spellEnd"/>
      <w:r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تخص القرآن واللغة وجملة من الأعلام </w:t>
      </w:r>
      <w:proofErr w:type="spellStart"/>
      <w:r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فى</w:t>
      </w:r>
      <w:proofErr w:type="spellEnd"/>
      <w:r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مختلف الفنون, من القراء والمفسرين واللغويين وغيرهم , فأردت هنا أن أترجم لهؤلاء الأعلام تتميما للفائدة.</w:t>
      </w:r>
    </w:p>
    <w:p w:rsidR="000F5310" w:rsidRPr="00D24C7C" w:rsidRDefault="000F5310" w:rsidP="000F5310">
      <w:pPr>
        <w:pStyle w:val="a5"/>
        <w:numPr>
          <w:ilvl w:val="0"/>
          <w:numId w:val="2"/>
        </w:num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</w:pPr>
      <w:proofErr w:type="gramStart"/>
      <w:r w:rsidRPr="00D24C7C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>موضوع</w:t>
      </w:r>
      <w:proofErr w:type="gramEnd"/>
      <w:r w:rsidRPr="00D24C7C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 xml:space="preserve"> المقالة</w:t>
      </w:r>
    </w:p>
    <w:p w:rsidR="000F5310" w:rsidRPr="000F5310" w:rsidRDefault="000F5310" w:rsidP="000F5310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الحسين بن أحمد = ابن </w:t>
      </w:r>
      <w:proofErr w:type="spellStart"/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خالويه</w:t>
      </w:r>
      <w:proofErr w:type="spellEnd"/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</w:t>
      </w:r>
    </w:p>
    <w:p w:rsidR="000F5310" w:rsidRPr="000F5310" w:rsidRDefault="000F5310" w:rsidP="000F5310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هو الحسين بن أحمد بن </w:t>
      </w:r>
      <w:proofErr w:type="spellStart"/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خالويه</w:t>
      </w:r>
      <w:proofErr w:type="spellEnd"/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بن حمدون أبو عبد الله </w:t>
      </w:r>
      <w:proofErr w:type="spellStart"/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النحوى</w:t>
      </w:r>
      <w:proofErr w:type="spellEnd"/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</w:t>
      </w:r>
      <w:proofErr w:type="spellStart"/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اللغوى</w:t>
      </w:r>
      <w:proofErr w:type="spellEnd"/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الإمام المشهور ، أخذ القراءات عرضاً عن أبى بكر بن مجاهد وابن </w:t>
      </w:r>
      <w:proofErr w:type="spellStart"/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الأنبارى</w:t>
      </w:r>
      <w:proofErr w:type="spellEnd"/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، والنحو واللغة عن ابن دريد </w:t>
      </w:r>
      <w:proofErr w:type="spellStart"/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ونفطويه</w:t>
      </w:r>
      <w:proofErr w:type="spellEnd"/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، أخذ القراءة عنه عرضاً أبو على الحسين بن على </w:t>
      </w:r>
      <w:proofErr w:type="spellStart"/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الرهاوى</w:t>
      </w:r>
      <w:proofErr w:type="spellEnd"/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، من مصنفاته " الحجة " ، و" شواذ القراءات " وغيرهما ، توفى سنة سبعين وثلاثمائة (370) هـ . ( ينظر : غاية النهاية 1 / 237 ، وشذرات الذهب 2 / 302 ) . </w:t>
      </w:r>
    </w:p>
    <w:p w:rsidR="000F5310" w:rsidRPr="000F5310" w:rsidRDefault="000F5310" w:rsidP="000F5310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الحسين بن على بن حماد = الأزرق الجمال </w:t>
      </w:r>
    </w:p>
    <w:p w:rsidR="000F5310" w:rsidRPr="000F5310" w:rsidRDefault="000F5310" w:rsidP="000F5310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هو الحسين بن على بن حماد بن مهران ، أبو عبد الله الأزرق الجمال المقرئ ، ثبت محقق ، قرأ على أحمد بن يزيد </w:t>
      </w:r>
      <w:proofErr w:type="spellStart"/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الحلوانى</w:t>
      </w:r>
      <w:proofErr w:type="spellEnd"/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وأحمد بن الصباح وسليمان بن داود </w:t>
      </w:r>
      <w:proofErr w:type="spellStart"/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الهاشمى</w:t>
      </w:r>
      <w:proofErr w:type="spellEnd"/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وغيرهم ، وقرأ عليه جماعة منهم ابن </w:t>
      </w:r>
      <w:proofErr w:type="spellStart"/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شنبوذ</w:t>
      </w:r>
      <w:proofErr w:type="spellEnd"/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وأبو بكر النقاش والحسن بن سعيد </w:t>
      </w:r>
      <w:proofErr w:type="spellStart"/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المطوعى</w:t>
      </w:r>
      <w:proofErr w:type="spellEnd"/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. توفى </w:t>
      </w:r>
      <w:proofErr w:type="spellStart"/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فى</w:t>
      </w:r>
      <w:proofErr w:type="spellEnd"/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حدود سنة ثلاثمائة (300) هـ . </w:t>
      </w:r>
    </w:p>
    <w:p w:rsidR="000F5310" w:rsidRPr="000F5310" w:rsidRDefault="000F5310" w:rsidP="000F5310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( </w:t>
      </w:r>
      <w:proofErr w:type="gramStart"/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ينظر :</w:t>
      </w:r>
      <w:proofErr w:type="gramEnd"/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معرفة القراء 1/466 ، وغاية النهاية 1 / 244 ) . </w:t>
      </w:r>
    </w:p>
    <w:p w:rsidR="000F5310" w:rsidRPr="000F5310" w:rsidRDefault="000F5310" w:rsidP="000F5310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الحسين بن على </w:t>
      </w:r>
      <w:proofErr w:type="spellStart"/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الجعفى</w:t>
      </w:r>
      <w:proofErr w:type="spellEnd"/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</w:t>
      </w:r>
    </w:p>
    <w:p w:rsidR="000F5310" w:rsidRPr="000F5310" w:rsidRDefault="000F5310" w:rsidP="000F5310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هو</w:t>
      </w:r>
      <w:proofErr w:type="gramStart"/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الحسي</w:t>
      </w:r>
      <w:proofErr w:type="gramEnd"/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ن بن على بن فتح الإمام الحبر أبو عبد الله ويقال أبو على </w:t>
      </w:r>
      <w:proofErr w:type="spellStart"/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الجعفى</w:t>
      </w:r>
      <w:proofErr w:type="spellEnd"/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مولاهم </w:t>
      </w:r>
      <w:proofErr w:type="spellStart"/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الكوفى</w:t>
      </w:r>
      <w:proofErr w:type="spellEnd"/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، أحد الأعلام ، قرأ على حمزة ، وأخذ الحروف عن أبى عمرو وأبى بكر بن عيـاش ، قـرأ عليه أيوب بن المتوكل وغيره ، توفى سنة ثلاث ومائتين (203) هـ . ( ينظر : معرفة القراء 1 / 346 ، وغاية النهاية 1 / 247 ) . </w:t>
      </w:r>
    </w:p>
    <w:p w:rsidR="000F5310" w:rsidRPr="000F5310" w:rsidRDefault="000F5310" w:rsidP="000F5310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الحسين بن محمد بن حبش = ابن حبش </w:t>
      </w:r>
    </w:p>
    <w:p w:rsidR="000F5310" w:rsidRPr="000F5310" w:rsidRDefault="000F5310" w:rsidP="000F5310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lastRenderedPageBreak/>
        <w:t xml:space="preserve">هو الحسين بن محمد بن حبش بن حمدان ، أبو على </w:t>
      </w:r>
      <w:proofErr w:type="spellStart"/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الدينورى</w:t>
      </w:r>
      <w:proofErr w:type="spellEnd"/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المقرئ ، حاذق ضابط متقن ، قرأ على أبى عمران موسى بن جرير الرقى والعباس بن الفضل </w:t>
      </w:r>
      <w:proofErr w:type="spellStart"/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الرازى</w:t>
      </w:r>
      <w:proofErr w:type="spellEnd"/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وأبى بكر بن مجاهد وغيرهم ، قرأ عليه جماعة منهم محمد بن المظفر بن حرب </w:t>
      </w:r>
      <w:proofErr w:type="spellStart"/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الدينورى</w:t>
      </w:r>
      <w:proofErr w:type="spellEnd"/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وأبو الفضل محمد بن جعفر </w:t>
      </w:r>
      <w:proofErr w:type="spellStart"/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الخزاعى</w:t>
      </w:r>
      <w:proofErr w:type="spellEnd"/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ومحمد بن إبراهيم البصير ، توفى سنة ثلاث وسبعين وثلاثمائة (373) هـ . ( ينظر : معرفة القراء 2 / 620 </w:t>
      </w:r>
      <w:r w:rsidRPr="000F5310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>–</w:t>
      </w:r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621 ، وغاية النهاية 1 / 250 </w:t>
      </w:r>
      <w:r w:rsidRPr="000F5310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>–</w:t>
      </w:r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251 ، وشذرات الذهب 3 / 81 ) . </w:t>
      </w:r>
    </w:p>
    <w:p w:rsidR="000F5310" w:rsidRPr="000F5310" w:rsidRDefault="000F5310" w:rsidP="000F5310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الحسين بن محمد بن المفضل = الراغب الأصفهاني</w:t>
      </w:r>
    </w:p>
    <w:p w:rsidR="000F5310" w:rsidRPr="000F5310" w:rsidRDefault="000F5310" w:rsidP="000F5310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هو الحسين بن محمد بن المفضل ، أبو القاسم الأصفهاني ، المعروف بالراغب ، أديب ، من الحكماء العلماء ، من أهل أصبهان ، سكن بغداد واشتهر حتى كان يقرن بالإمام الغزالي ، من مؤلفاته " المفردات في غريب القرآن " , " حل متشابهات القرآن " " أفانين البلاغة " , توفى سنة ثنتين وخمسمائة ( 502 ) هـ .</w:t>
      </w:r>
    </w:p>
    <w:p w:rsidR="000F5310" w:rsidRPr="000F5310" w:rsidRDefault="000F5310" w:rsidP="000F5310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( ينظر : بغية </w:t>
      </w:r>
      <w:proofErr w:type="spellStart"/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الوعاة</w:t>
      </w:r>
      <w:proofErr w:type="spellEnd"/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2 / 297 ، والأعلام 2 / 255 ) . </w:t>
      </w:r>
    </w:p>
    <w:p w:rsidR="000F5310" w:rsidRPr="000F5310" w:rsidRDefault="000F5310" w:rsidP="000F5310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حفص بن سليمان </w:t>
      </w:r>
    </w:p>
    <w:p w:rsidR="000F5310" w:rsidRPr="000F5310" w:rsidRDefault="000F5310" w:rsidP="000F5310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هو حفص بن سليمان بن المغيرة ، أبو عمر </w:t>
      </w:r>
      <w:proofErr w:type="spellStart"/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الأسدى</w:t>
      </w:r>
      <w:proofErr w:type="spellEnd"/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</w:t>
      </w:r>
      <w:proofErr w:type="spellStart"/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الكوفى</w:t>
      </w:r>
      <w:proofErr w:type="spellEnd"/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</w:t>
      </w:r>
      <w:proofErr w:type="spellStart"/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الغاضرى</w:t>
      </w:r>
      <w:proofErr w:type="spellEnd"/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البزاز ، ولد سنة تسعين (90) هـ ، أخذ القراءة عرضاً وتلقيناً عن عاصم ، وكان ربيبه " ابن زوجته " ومن ثم أتقن عنه القراءة ، قرأ عليه عرضاً وسماعاً حسين بن محمد </w:t>
      </w:r>
      <w:proofErr w:type="spellStart"/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المروزى</w:t>
      </w:r>
      <w:proofErr w:type="spellEnd"/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والعباس بن الفضل وعمرو بن الصباح وعبيد بن الصباح ، وغيرهم ، توفى سنة ثمانين ومائة (180) هـ على الصحيح . </w:t>
      </w:r>
    </w:p>
    <w:p w:rsidR="000F5310" w:rsidRPr="000F5310" w:rsidRDefault="000F5310" w:rsidP="000F5310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( ينظر: معرفة القراء 1 / 287 </w:t>
      </w:r>
      <w:r w:rsidRPr="000F5310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>–</w:t>
      </w:r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</w:t>
      </w:r>
      <w:proofErr w:type="gramStart"/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290 ،</w:t>
      </w:r>
      <w:proofErr w:type="gramEnd"/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وغاية النهاية 1 / 254 </w:t>
      </w:r>
      <w:r w:rsidRPr="000F5310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>–</w:t>
      </w:r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255 ) . </w:t>
      </w:r>
    </w:p>
    <w:p w:rsidR="000F5310" w:rsidRPr="000F5310" w:rsidRDefault="000F5310" w:rsidP="000F5310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حفص بن عمر بن عبد العزيز = </w:t>
      </w:r>
      <w:proofErr w:type="spellStart"/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الدورى</w:t>
      </w:r>
      <w:proofErr w:type="spellEnd"/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</w:t>
      </w:r>
    </w:p>
    <w:p w:rsidR="000F5310" w:rsidRPr="000F5310" w:rsidRDefault="000F5310" w:rsidP="000F5310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هو حفص بن عمر بن عبد العزيز بن </w:t>
      </w:r>
      <w:proofErr w:type="spellStart"/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صهبان</w:t>
      </w:r>
      <w:proofErr w:type="spellEnd"/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، أبو عمر </w:t>
      </w:r>
      <w:proofErr w:type="spellStart"/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الدورى</w:t>
      </w:r>
      <w:proofErr w:type="spellEnd"/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</w:t>
      </w:r>
      <w:proofErr w:type="spellStart"/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الأزدى</w:t>
      </w:r>
      <w:proofErr w:type="spellEnd"/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</w:t>
      </w:r>
      <w:proofErr w:type="spellStart"/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البغدادى</w:t>
      </w:r>
      <w:proofErr w:type="spellEnd"/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</w:t>
      </w:r>
      <w:proofErr w:type="spellStart"/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النحوى</w:t>
      </w:r>
      <w:proofErr w:type="spellEnd"/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الضرير ، ثقة ثبت كبير ضابط ، أول من جمع القراءات ، ونسبته إلى الدور موضع ببغداد ، قرأ على إسماعيل بن جعفر عن نافع ويحيى بن المبارك </w:t>
      </w:r>
      <w:proofErr w:type="spellStart"/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اليزيدى</w:t>
      </w:r>
      <w:proofErr w:type="spellEnd"/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</w:t>
      </w:r>
      <w:proofErr w:type="spellStart"/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والكسائى</w:t>
      </w:r>
      <w:proofErr w:type="spellEnd"/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وغيرهم ، قرأ عليه أحمد بن حرب وأحمد بن فرح وغيرهما ، توفى سنة ست وأربعين ومائتين (246) هـ . </w:t>
      </w:r>
    </w:p>
    <w:p w:rsidR="000F5310" w:rsidRPr="000F5310" w:rsidRDefault="000F5310" w:rsidP="000F5310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( </w:t>
      </w:r>
      <w:proofErr w:type="gramStart"/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ينظر :</w:t>
      </w:r>
      <w:proofErr w:type="gramEnd"/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معرفة القراء 1 / 386 </w:t>
      </w:r>
      <w:r w:rsidRPr="000F5310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>–</w:t>
      </w:r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389 ، وغاية النهاية 1 / 255 </w:t>
      </w:r>
      <w:r w:rsidRPr="000F5310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>–</w:t>
      </w:r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257 ) . </w:t>
      </w:r>
    </w:p>
    <w:p w:rsidR="000F5310" w:rsidRPr="000F5310" w:rsidRDefault="000F5310" w:rsidP="000F5310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proofErr w:type="gramStart"/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حمزة</w:t>
      </w:r>
      <w:proofErr w:type="gramEnd"/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بن حبيب الزيات </w:t>
      </w:r>
    </w:p>
    <w:p w:rsidR="000F5310" w:rsidRPr="000F5310" w:rsidRDefault="000F5310" w:rsidP="000F5310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zh-CN"/>
        </w:rPr>
      </w:pPr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هو حمزة بن حبيب بن عمارة بن إسماعيل </w:t>
      </w:r>
      <w:proofErr w:type="spellStart"/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الكوفى</w:t>
      </w:r>
      <w:proofErr w:type="spellEnd"/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</w:t>
      </w:r>
      <w:proofErr w:type="spellStart"/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التيمى</w:t>
      </w:r>
      <w:proofErr w:type="spellEnd"/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الزيات ، أحد القراء السبعة ، ولد سنة ثمانين (80) هـ ، وأدرك الصحابة بالسن لا بالأخذ ، أخذ القراءة عرضاً عن </w:t>
      </w:r>
    </w:p>
    <w:p w:rsidR="000F5310" w:rsidRPr="000F5310" w:rsidRDefault="000F5310" w:rsidP="000F5310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lastRenderedPageBreak/>
        <w:t xml:space="preserve">، ولد سنة ثمان وستين (68) هـ على الأصح ، قرأ على الحسن بن أبى الحسن البصرى وحميد بن قيس الأعرج وابن كثير وغيرهم ، فليس </w:t>
      </w:r>
      <w:proofErr w:type="spellStart"/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فى</w:t>
      </w:r>
      <w:proofErr w:type="spellEnd"/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القراء السبعة أكثر شيوخاً منه ، روى القراءة عنه خلق كثير منهم يحيى الأعمش </w:t>
      </w:r>
      <w:proofErr w:type="spellStart"/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وحمران</w:t>
      </w:r>
      <w:proofErr w:type="spellEnd"/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بن أعين وغيرهما ، قرأ عليه </w:t>
      </w:r>
      <w:proofErr w:type="spellStart"/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الكسائى</w:t>
      </w:r>
      <w:proofErr w:type="spellEnd"/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وسليم بن عيسى ويحيى بن المبـارك </w:t>
      </w:r>
      <w:proofErr w:type="spellStart"/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اليزيدى</w:t>
      </w:r>
      <w:proofErr w:type="spellEnd"/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وغيرهـم ، توفى سنة ست وخمسين ومائة (156) هـ . ( ينظر : معرفة القراء 1 / 250 </w:t>
      </w:r>
      <w:r w:rsidRPr="000F5310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>–</w:t>
      </w:r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265 ، وغاية النهاية 1 / 261 </w:t>
      </w:r>
      <w:r w:rsidRPr="000F5310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>–</w:t>
      </w:r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263 ) . </w:t>
      </w:r>
    </w:p>
    <w:p w:rsidR="000F5310" w:rsidRPr="000F5310" w:rsidRDefault="000F5310" w:rsidP="000F5310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حمزة بن </w:t>
      </w:r>
      <w:proofErr w:type="gramStart"/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عبد</w:t>
      </w:r>
      <w:proofErr w:type="gramEnd"/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المطلب</w:t>
      </w:r>
    </w:p>
    <w:p w:rsidR="000F5310" w:rsidRPr="000F5310" w:rsidRDefault="000F5310" w:rsidP="000F5310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هو حمزة بن عبد المط</w:t>
      </w:r>
      <w:proofErr w:type="gramStart"/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لب بن</w:t>
      </w:r>
      <w:proofErr w:type="gramEnd"/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هاشم ، أبو عمارة ، عم النبي </w:t>
      </w:r>
      <w:r w:rsidRPr="000F5310">
        <w:rPr>
          <w:rFonts w:ascii="Times New Roman" w:eastAsia="Times New Roman" w:hAnsi="Times New Roman" w:cs="Times New Roman"/>
          <w:b/>
          <w:bCs/>
          <w:sz w:val="18"/>
          <w:szCs w:val="18"/>
          <w:lang w:eastAsia="zh-CN"/>
        </w:rPr>
        <w:t></w:t>
      </w:r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 وأخوه من الرضاعة ، وأحد صناديد قريش وسادتهم في الجاهلية والإسلام ، ولد ونشأ بمكة ، قال </w:t>
      </w:r>
      <w:proofErr w:type="spellStart"/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المدائنـى</w:t>
      </w:r>
      <w:proofErr w:type="spellEnd"/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: " أول لـواء عقده رسول الله </w:t>
      </w:r>
      <w:r w:rsidRPr="000F5310">
        <w:rPr>
          <w:rFonts w:ascii="Times New Roman" w:eastAsia="Times New Roman" w:hAnsi="Times New Roman" w:cs="Times New Roman"/>
          <w:b/>
          <w:bCs/>
          <w:sz w:val="18"/>
          <w:szCs w:val="18"/>
          <w:lang w:eastAsia="zh-CN"/>
        </w:rPr>
        <w:t></w:t>
      </w:r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كان لحمزة ، واستشهد بأحد سنة ثلاث (3) هـ . ( ينظر الإصابة 1 / 253 ، 254 ، والأعلام 2 / 278 ) .</w:t>
      </w:r>
    </w:p>
    <w:p w:rsidR="000F5310" w:rsidRPr="000F5310" w:rsidRDefault="000F5310" w:rsidP="000F5310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proofErr w:type="gramStart"/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حمزة</w:t>
      </w:r>
      <w:proofErr w:type="gramEnd"/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بن القاسم الأحول = أبو عمارة </w:t>
      </w:r>
    </w:p>
    <w:p w:rsidR="000F5310" w:rsidRPr="000F5310" w:rsidRDefault="000F5310" w:rsidP="000F5310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هو حمزة بن القاسم أبو عمارة الأحول </w:t>
      </w:r>
      <w:proofErr w:type="spellStart"/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الأزدى</w:t>
      </w:r>
      <w:proofErr w:type="spellEnd"/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</w:t>
      </w:r>
      <w:proofErr w:type="spellStart"/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الكوفى</w:t>
      </w:r>
      <w:proofErr w:type="spellEnd"/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، أخذ القراءة عرضاً وسماعاً عن حمزة الزيات وحفص بن سليمان وغيرهما ، روى القراءة عنه أبو عمر </w:t>
      </w:r>
      <w:proofErr w:type="spellStart"/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الدورى</w:t>
      </w:r>
      <w:proofErr w:type="spellEnd"/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وأبو الحارث الليث بن خالد وغيرهما . ( ينظر : غاية النهاية 1 / 264 ) . </w:t>
      </w:r>
    </w:p>
    <w:p w:rsidR="000F5310" w:rsidRPr="000F5310" w:rsidRDefault="000F5310" w:rsidP="000F5310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حميد بن </w:t>
      </w:r>
      <w:proofErr w:type="gramStart"/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قيس</w:t>
      </w:r>
      <w:proofErr w:type="gramEnd"/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الأعرج </w:t>
      </w:r>
    </w:p>
    <w:p w:rsidR="000F5310" w:rsidRPr="000F5310" w:rsidRDefault="000F5310" w:rsidP="000F5310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هو حميد بن قيس الأعرج أبو صفوان </w:t>
      </w:r>
      <w:proofErr w:type="spellStart"/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المكى</w:t>
      </w:r>
      <w:proofErr w:type="spellEnd"/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القارئ ، ثقة ، أخذ القراءة عن مجاهد ابن جبر وعرض عليه ثلاث مرات ، روى القراءة عنه سفيان بن </w:t>
      </w:r>
      <w:proofErr w:type="spellStart"/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عيينة</w:t>
      </w:r>
      <w:proofErr w:type="spellEnd"/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وأبو عمرو بن العلاء وعبد الوارث بن سعيد وغيرهم ، توفى سنة ثلاثين ومائة (130) هـ . </w:t>
      </w:r>
    </w:p>
    <w:p w:rsidR="000F5310" w:rsidRPr="000F5310" w:rsidRDefault="000F5310" w:rsidP="000F5310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( ينظر: معرفة القراء 1 / 219 </w:t>
      </w:r>
      <w:r w:rsidRPr="000F5310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>–</w:t>
      </w:r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</w:t>
      </w:r>
      <w:proofErr w:type="gramStart"/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221 ،</w:t>
      </w:r>
      <w:proofErr w:type="gramEnd"/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وغاية النهاية 1 / 265 ) . </w:t>
      </w:r>
    </w:p>
    <w:p w:rsidR="000F5310" w:rsidRPr="000F5310" w:rsidRDefault="000F5310" w:rsidP="000F5310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proofErr w:type="gramStart"/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خارجة</w:t>
      </w:r>
      <w:proofErr w:type="gramEnd"/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بن مصعب </w:t>
      </w:r>
    </w:p>
    <w:p w:rsidR="000F5310" w:rsidRPr="000F5310" w:rsidRDefault="000F5310" w:rsidP="000F5310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هو خارجة بن مصعب أبو الحجاج </w:t>
      </w:r>
      <w:proofErr w:type="spellStart"/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الضبعى</w:t>
      </w:r>
      <w:proofErr w:type="spellEnd"/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</w:t>
      </w:r>
      <w:proofErr w:type="spellStart"/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السرخسى</w:t>
      </w:r>
      <w:proofErr w:type="spellEnd"/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، أخذ القراءة عن نافع وأبى عمرو ، وله شذوذ كثير عنهما لم يتابع عليه ، وروى أيضاً عن حمزة حروفاً ، روى القراءة عنه العباس بن الفضل وأبو معاذ </w:t>
      </w:r>
      <w:proofErr w:type="spellStart"/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النحوى</w:t>
      </w:r>
      <w:proofErr w:type="spellEnd"/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وغيرهما ، توفى سنة ثمان وستين ومائة ( 168 ) هـ . ( ينظر : غاية النهاية 1 / 268 ) . </w:t>
      </w:r>
    </w:p>
    <w:p w:rsidR="000F5310" w:rsidRPr="000F5310" w:rsidRDefault="000F5310" w:rsidP="000F5310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خالد بن يزيد </w:t>
      </w:r>
      <w:proofErr w:type="spellStart"/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الأسدى</w:t>
      </w:r>
      <w:proofErr w:type="spellEnd"/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= خالد الطبيب </w:t>
      </w:r>
    </w:p>
    <w:p w:rsidR="000F5310" w:rsidRPr="000F5310" w:rsidRDefault="000F5310" w:rsidP="000F5310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هو خالد بن يزيد بن عبد الله أبو الهيثم </w:t>
      </w:r>
      <w:proofErr w:type="spellStart"/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الأسدى</w:t>
      </w:r>
      <w:proofErr w:type="spellEnd"/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</w:t>
      </w:r>
      <w:proofErr w:type="spellStart"/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الكاهلى</w:t>
      </w:r>
      <w:proofErr w:type="spellEnd"/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مولاهم </w:t>
      </w:r>
      <w:proofErr w:type="spellStart"/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الكوفى</w:t>
      </w:r>
      <w:proofErr w:type="spellEnd"/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المقرئ الطبيب الكحال ، عرض على حمزة الزيات ، عرض عليه سهل بن محمد الجلاب ويعقوب بن يوسف </w:t>
      </w:r>
      <w:proofErr w:type="spellStart"/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الضبى</w:t>
      </w:r>
      <w:proofErr w:type="spellEnd"/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وأبو حمدون الطيب وغيرهم ، توفى سنة خمس عشرة ومائتين (215) هـ . </w:t>
      </w:r>
    </w:p>
    <w:p w:rsidR="000F5310" w:rsidRPr="000F5310" w:rsidRDefault="000F5310" w:rsidP="000F5310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( </w:t>
      </w:r>
      <w:proofErr w:type="gramStart"/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ينظر :</w:t>
      </w:r>
      <w:proofErr w:type="gramEnd"/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معرفة القراء 1 / 349 ، 350 ، وغاية النهاية 1/269 ، 270 ) . </w:t>
      </w:r>
    </w:p>
    <w:p w:rsidR="000F5310" w:rsidRPr="000F5310" w:rsidRDefault="000F5310" w:rsidP="000F5310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أبو الخطاب = عبد الحميد </w:t>
      </w:r>
      <w:proofErr w:type="gramStart"/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بن</w:t>
      </w:r>
      <w:proofErr w:type="gramEnd"/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عبد المجيد</w:t>
      </w:r>
    </w:p>
    <w:p w:rsidR="000F5310" w:rsidRPr="000F5310" w:rsidRDefault="000F5310" w:rsidP="000F5310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خلاد بن خالد </w:t>
      </w:r>
      <w:proofErr w:type="spellStart"/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الكوفى</w:t>
      </w:r>
      <w:proofErr w:type="spellEnd"/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</w:t>
      </w:r>
    </w:p>
    <w:p w:rsidR="000F5310" w:rsidRPr="000F5310" w:rsidRDefault="000F5310" w:rsidP="000F5310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هو خلاد بن خالد أبو عيسى </w:t>
      </w:r>
      <w:proofErr w:type="spellStart"/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الصيرفى</w:t>
      </w:r>
      <w:proofErr w:type="spellEnd"/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</w:t>
      </w:r>
      <w:proofErr w:type="spellStart"/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الكوفى</w:t>
      </w:r>
      <w:proofErr w:type="spellEnd"/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، إمام </w:t>
      </w:r>
      <w:proofErr w:type="spellStart"/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فى</w:t>
      </w:r>
      <w:proofErr w:type="spellEnd"/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القراءة ، ثقة عارف محقق أستاذ أخذ القراءة عرضاً عن سليم وحسين بن على </w:t>
      </w:r>
      <w:proofErr w:type="spellStart"/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الجعفى</w:t>
      </w:r>
      <w:proofErr w:type="spellEnd"/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وعيسى بن عمر </w:t>
      </w:r>
      <w:proofErr w:type="spellStart"/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الهمذانى</w:t>
      </w:r>
      <w:proofErr w:type="spellEnd"/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وغيرهم ، روى القراءة عنه عرضاً أحمد بن يزيد </w:t>
      </w:r>
      <w:proofErr w:type="spellStart"/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الحلوانى</w:t>
      </w:r>
      <w:proofErr w:type="spellEnd"/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ومحمد بن شاذان ومحمد بن عيسى </w:t>
      </w:r>
      <w:proofErr w:type="spellStart"/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الأصبهانى</w:t>
      </w:r>
      <w:proofErr w:type="spellEnd"/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وغيرهم ، توفى سنة عشرين ومائتين (220) هـ . </w:t>
      </w:r>
    </w:p>
    <w:p w:rsidR="000F5310" w:rsidRPr="000F5310" w:rsidRDefault="000F5310" w:rsidP="000F5310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( </w:t>
      </w:r>
      <w:proofErr w:type="gramStart"/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ينظر :</w:t>
      </w:r>
      <w:proofErr w:type="gramEnd"/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معرفة القراء 1 / 422 </w:t>
      </w:r>
      <w:r w:rsidRPr="000F5310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>–</w:t>
      </w:r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423 ، وغاية النهاية 1 / 274 ) . </w:t>
      </w:r>
    </w:p>
    <w:p w:rsidR="000F5310" w:rsidRPr="000F5310" w:rsidRDefault="000F5310" w:rsidP="000F5310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خلف بن هشام البزار </w:t>
      </w:r>
    </w:p>
    <w:p w:rsidR="000F5310" w:rsidRPr="000F5310" w:rsidRDefault="000F5310" w:rsidP="000F5310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هو خلف بن هشام بن ثعلب أبو محمد </w:t>
      </w:r>
      <w:proofErr w:type="spellStart"/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الأسدى</w:t>
      </w:r>
      <w:proofErr w:type="spellEnd"/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</w:t>
      </w:r>
      <w:proofErr w:type="spellStart"/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البغدادى</w:t>
      </w:r>
      <w:proofErr w:type="spellEnd"/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البزار ، أحد القراء العشرة وأحد الرواة عن سليم عن حمزة ، ولد سنة خمسين ومائة (150) هـ ، أخذ القراءة عرضاً عن سليم بن عيسى وأبى زيد بن سعيد بن أوس وغيرهما ، روى الحروف عن إسماعيل بن جعفر ويحيى بن آدم وغيرهما ، روى القراءة عنه عرضاً وسماعاً إسحاق ابن إبراهيم وأخوه أحمد بن إبراهيم وإدريس بن عبد الكريم وغيرهم ، توفى سنة تسع وعشرين ومائتين (229) هـ . </w:t>
      </w:r>
    </w:p>
    <w:p w:rsidR="000F5310" w:rsidRPr="000F5310" w:rsidRDefault="000F5310" w:rsidP="000F5310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( </w:t>
      </w:r>
      <w:proofErr w:type="gramStart"/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ينظر :</w:t>
      </w:r>
      <w:proofErr w:type="gramEnd"/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معرفة القراء 1 / 419 </w:t>
      </w:r>
      <w:r w:rsidRPr="000F5310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>–</w:t>
      </w:r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422 ، وغاية النهاية 1 / 272 </w:t>
      </w:r>
      <w:r w:rsidRPr="000F5310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>–</w:t>
      </w:r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274 ) . </w:t>
      </w:r>
    </w:p>
    <w:p w:rsidR="000F5310" w:rsidRPr="000F5310" w:rsidRDefault="000F5310" w:rsidP="000F5310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proofErr w:type="gramStart"/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lastRenderedPageBreak/>
        <w:t>الخليل</w:t>
      </w:r>
      <w:proofErr w:type="gramEnd"/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بن أحمد </w:t>
      </w:r>
    </w:p>
    <w:p w:rsidR="000F5310" w:rsidRPr="000F5310" w:rsidRDefault="000F5310" w:rsidP="000F5310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هو الخليل بن أحمد بن عمرو بن تميم </w:t>
      </w:r>
      <w:proofErr w:type="spellStart"/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الفراهيدى</w:t>
      </w:r>
      <w:proofErr w:type="spellEnd"/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، من أئمة اللغة والأدب ، وواضع علم العروض وأول معجم لغوى </w:t>
      </w:r>
      <w:proofErr w:type="spellStart"/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عربى</w:t>
      </w:r>
      <w:proofErr w:type="spellEnd"/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وهو كتاب العين ، كان أستاذ سيبويه ، من مؤلفاته " تفسير حروف اللغة " ، و" العروض " ، توفى سنة سبعين ومائة (170)هـ . ( ينظر : بغية </w:t>
      </w:r>
      <w:proofErr w:type="spellStart"/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الوعاة</w:t>
      </w:r>
      <w:proofErr w:type="spellEnd"/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1 / 557 ، وإنباه </w:t>
      </w:r>
      <w:proofErr w:type="spellStart"/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الرواه</w:t>
      </w:r>
      <w:proofErr w:type="spellEnd"/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1 / 376 ) . </w:t>
      </w:r>
    </w:p>
    <w:p w:rsidR="000F5310" w:rsidRPr="000F5310" w:rsidRDefault="000F5310" w:rsidP="000F5310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روح بن عبد المؤمن البصرى </w:t>
      </w:r>
    </w:p>
    <w:p w:rsidR="000F5310" w:rsidRPr="000F5310" w:rsidRDefault="000F5310" w:rsidP="000F5310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هو روح بن عبد المؤمن أبو الحسن البصرى المقرئ ، صاحب يعقوب </w:t>
      </w:r>
      <w:proofErr w:type="spellStart"/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الحضرمى</w:t>
      </w:r>
      <w:proofErr w:type="spellEnd"/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 مقرئ جليل ثقة ، عرض على يعقوب </w:t>
      </w:r>
      <w:proofErr w:type="spellStart"/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الحضرمى</w:t>
      </w:r>
      <w:proofErr w:type="spellEnd"/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وهو من جلة أصحابه ، قرأ عليه أحمد بن يزيد </w:t>
      </w:r>
      <w:proofErr w:type="spellStart"/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الحلوانى</w:t>
      </w:r>
      <w:proofErr w:type="spellEnd"/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وأبو عبد الله </w:t>
      </w:r>
      <w:proofErr w:type="spellStart"/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الزبيرى</w:t>
      </w:r>
      <w:proofErr w:type="spellEnd"/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وأحمد بن يحيى الوكيل وغيرهم ، توفى سنة خمس وثلاثين ومائتين (235) هـ ، وقيل سنة أربع . </w:t>
      </w:r>
    </w:p>
    <w:p w:rsidR="000F5310" w:rsidRPr="000F5310" w:rsidRDefault="000F5310" w:rsidP="000F5310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( </w:t>
      </w:r>
      <w:proofErr w:type="gramStart"/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ينظر :</w:t>
      </w:r>
      <w:proofErr w:type="gramEnd"/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معرفة القراء 1/427 </w:t>
      </w:r>
      <w:r w:rsidRPr="000F5310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>–</w:t>
      </w:r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428 ، وغاية النهاية 1 / 285 ) . </w:t>
      </w:r>
    </w:p>
    <w:p w:rsidR="000F5310" w:rsidRPr="000F5310" w:rsidRDefault="000F5310" w:rsidP="000F5310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زبان بن العلاء = أبو عمرو البصرى </w:t>
      </w:r>
    </w:p>
    <w:p w:rsidR="000F5310" w:rsidRPr="000F5310" w:rsidRDefault="000F5310" w:rsidP="000F5310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هو زبان بن العلاء بن عمار بن العريان </w:t>
      </w:r>
      <w:proofErr w:type="spellStart"/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التميمى</w:t>
      </w:r>
      <w:proofErr w:type="spellEnd"/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</w:t>
      </w:r>
      <w:proofErr w:type="spellStart"/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المازنى</w:t>
      </w:r>
      <w:proofErr w:type="spellEnd"/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البصرى ، أحد القراء السبعة بن المبارك </w:t>
      </w:r>
      <w:proofErr w:type="spellStart"/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اليزيدى</w:t>
      </w:r>
      <w:proofErr w:type="spellEnd"/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وسلام الطويـل والعبـاس بن الفضل وغيرهم ، توفى سنة أربع وخمسين ومائة (154) هـ . ( ينظر معرفة القراء 1 / 223 </w:t>
      </w:r>
      <w:r w:rsidRPr="000F5310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>–</w:t>
      </w:r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237 ، وغاية النهاية 1 / 288 </w:t>
      </w:r>
      <w:r w:rsidRPr="000F5310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>–</w:t>
      </w:r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292 ) . </w:t>
      </w:r>
    </w:p>
    <w:p w:rsidR="000F5310" w:rsidRPr="000F5310" w:rsidRDefault="000F5310" w:rsidP="000F5310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الزبير بن محمد بن عبد الله = العمرى </w:t>
      </w:r>
    </w:p>
    <w:p w:rsidR="000F5310" w:rsidRDefault="000F5310" w:rsidP="000F5310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</w:pPr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هـو الزبير بن محمـد بن عبـد الله بن سالـم بن عبد الله بن عمر بن الخطاب أبو عبد الله العمرى المقرئ ، </w:t>
      </w:r>
      <w:proofErr w:type="spellStart"/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راوى</w:t>
      </w:r>
      <w:proofErr w:type="spellEnd"/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قراءة أبى جعفر عن قالون ، وهو ثقة ، قرأ عليه جعفر بن محمد بن </w:t>
      </w:r>
      <w:proofErr w:type="spellStart"/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مطيار</w:t>
      </w:r>
      <w:proofErr w:type="spellEnd"/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وأبو الحسن بن </w:t>
      </w:r>
      <w:proofErr w:type="spellStart"/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شنبوذ</w:t>
      </w:r>
      <w:proofErr w:type="spellEnd"/>
      <w:r w:rsidRPr="000F531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، وعمر دهراً حتى توفى بعد السبعين ومائتين (270) هـ . [ ينظر معرفة القراء 1 / 439 ، وغاية النهاية 1 / 293 ] . </w:t>
      </w:r>
    </w:p>
    <w:p w:rsidR="00594012" w:rsidRPr="000F5310" w:rsidRDefault="00594012" w:rsidP="00594012">
      <w:pPr>
        <w:pBdr>
          <w:bottom w:val="single" w:sz="4" w:space="1" w:color="auto"/>
        </w:pBd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</w:p>
    <w:p w:rsidR="00594012" w:rsidRDefault="00594012" w:rsidP="00594012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0F5310">
        <w:rPr>
          <w:rFonts w:ascii="Times New Roman" w:eastAsia="Times New Roman" w:hAnsi="Times New Roman" w:cs="Times New Roman"/>
          <w:b/>
          <w:bCs/>
          <w:sz w:val="18"/>
          <w:szCs w:val="18"/>
          <w:lang w:eastAsia="zh-CN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المراجع </w:t>
      </w:r>
      <w:proofErr w:type="gramStart"/>
      <w:r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والمصادر</w:t>
      </w:r>
      <w:proofErr w:type="gramEnd"/>
    </w:p>
    <w:p w:rsidR="00594012" w:rsidRDefault="00594012" w:rsidP="00594012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1- عبد الحى بن أحمد </w:t>
      </w:r>
      <w:proofErr w:type="spellStart"/>
      <w:r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الحنبلى</w:t>
      </w:r>
      <w:proofErr w:type="spellEnd"/>
      <w:r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, المعروف بابن العماد ’ شذرات الذهب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>–</w:t>
      </w:r>
      <w:r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بيروت</w:t>
      </w:r>
    </w:p>
    <w:p w:rsidR="00594012" w:rsidRDefault="00594012" w:rsidP="00594012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2- على بن يوسف </w:t>
      </w:r>
      <w:proofErr w:type="spellStart"/>
      <w:r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القفطى</w:t>
      </w:r>
      <w:proofErr w:type="spellEnd"/>
      <w:r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, إنباه الرواة على أنباء النحاة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>–</w:t>
      </w:r>
      <w:r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القاهرة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>–</w:t>
      </w:r>
      <w:r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بيروت</w:t>
      </w:r>
    </w:p>
    <w:p w:rsidR="00594012" w:rsidRDefault="00594012" w:rsidP="00594012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3- محمد بن أحمد </w:t>
      </w:r>
      <w:proofErr w:type="spellStart"/>
      <w:r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الذهبى</w:t>
      </w:r>
      <w:proofErr w:type="spellEnd"/>
      <w:r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, معرفة القراء الكبار على الطبقات </w:t>
      </w:r>
      <w:proofErr w:type="spellStart"/>
      <w:r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والأعصار</w:t>
      </w:r>
      <w:proofErr w:type="spellEnd"/>
      <w:r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, تحقيق د/ طيار </w:t>
      </w:r>
      <w:proofErr w:type="spellStart"/>
      <w:r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آلتى</w:t>
      </w:r>
      <w:proofErr w:type="spellEnd"/>
      <w:r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قولاج</w:t>
      </w:r>
      <w:proofErr w:type="spellEnd"/>
      <w:r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_ استانبول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>–</w:t>
      </w:r>
      <w:r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تركيا </w:t>
      </w:r>
    </w:p>
    <w:p w:rsidR="00594012" w:rsidRPr="00250A64" w:rsidRDefault="00594012" w:rsidP="00594012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4- محمد بن يوسف بن </w:t>
      </w:r>
      <w:proofErr w:type="spellStart"/>
      <w:r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الجزرى</w:t>
      </w:r>
      <w:proofErr w:type="spellEnd"/>
      <w:r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, غاية النهاية </w:t>
      </w:r>
      <w:proofErr w:type="spellStart"/>
      <w:r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فى</w:t>
      </w:r>
      <w:proofErr w:type="spellEnd"/>
      <w:r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طبقات القراء , عنى بنشره ج </w:t>
      </w:r>
      <w:proofErr w:type="spellStart"/>
      <w:r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برجستراسر</w:t>
      </w:r>
      <w:proofErr w:type="spellEnd"/>
      <w:r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, مكتبة ابن تيمية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>–</w:t>
      </w:r>
      <w:r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القاهرة </w:t>
      </w:r>
    </w:p>
    <w:p w:rsidR="007E0AB0" w:rsidRPr="000F5310" w:rsidRDefault="007E0AB0" w:rsidP="00594012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</w:pPr>
    </w:p>
    <w:p w:rsidR="00AA0FE1" w:rsidRPr="000F5310" w:rsidRDefault="00AA0FE1" w:rsidP="000F5310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zh-CN"/>
        </w:rPr>
      </w:pPr>
      <w:bookmarkStart w:id="0" w:name="_GoBack"/>
      <w:bookmarkEnd w:id="0"/>
    </w:p>
    <w:sectPr w:rsidR="00AA0FE1" w:rsidRPr="000F5310" w:rsidSect="00251720">
      <w:type w:val="continuous"/>
      <w:pgSz w:w="11906" w:h="16838"/>
      <w:pgMar w:top="1080" w:right="737" w:bottom="2432" w:left="737" w:header="720" w:footer="720" w:gutter="0"/>
      <w:cols w:num="2" w:space="360"/>
      <w:bidi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0EA" w:rsidRDefault="007410EA" w:rsidP="007E0AB0">
      <w:pPr>
        <w:spacing w:after="0" w:line="240" w:lineRule="auto"/>
      </w:pPr>
      <w:r>
        <w:separator/>
      </w:r>
    </w:p>
  </w:endnote>
  <w:endnote w:type="continuationSeparator" w:id="0">
    <w:p w:rsidR="007410EA" w:rsidRDefault="007410EA" w:rsidP="007E0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0EA" w:rsidRDefault="007410EA" w:rsidP="007E0AB0">
      <w:pPr>
        <w:spacing w:after="0" w:line="240" w:lineRule="auto"/>
      </w:pPr>
      <w:r>
        <w:separator/>
      </w:r>
    </w:p>
  </w:footnote>
  <w:footnote w:type="continuationSeparator" w:id="0">
    <w:p w:rsidR="007410EA" w:rsidRDefault="007410EA" w:rsidP="007E0A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2D6DD6"/>
    <w:multiLevelType w:val="hybridMultilevel"/>
    <w:tmpl w:val="02DCFC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DD7CA4"/>
    <w:multiLevelType w:val="hybridMultilevel"/>
    <w:tmpl w:val="04B6278C"/>
    <w:lvl w:ilvl="0" w:tplc="9F9A50E8">
      <w:start w:val="1"/>
      <w:numFmt w:val="upperRoman"/>
      <w:lvlText w:val="%1"/>
      <w:lvlJc w:val="left"/>
      <w:pPr>
        <w:ind w:left="936" w:hanging="360"/>
      </w:pPr>
      <w:rPr>
        <w:rFonts w:ascii="Times New Roman" w:hAnsi="Times New Roman" w:cs="Times New Roman" w:hint="default"/>
        <w:caps w:val="0"/>
        <w:smallCaps w:val="0"/>
        <w:strike w:val="0"/>
        <w:dstrike w:val="0"/>
        <w:outline w:val="0"/>
        <w:shadow w:val="0"/>
        <w:vanish w:val="0"/>
        <w:color w:val="auto"/>
        <w:position w:val="0"/>
        <w:sz w:val="20"/>
        <w:szCs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AB0"/>
    <w:rsid w:val="000F5310"/>
    <w:rsid w:val="00321E22"/>
    <w:rsid w:val="00594012"/>
    <w:rsid w:val="007410EA"/>
    <w:rsid w:val="007E0AB0"/>
    <w:rsid w:val="00AA0FE1"/>
    <w:rsid w:val="00BD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AB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semiHidden/>
    <w:unhideWhenUsed/>
    <w:rsid w:val="007E0AB0"/>
    <w:pPr>
      <w:spacing w:after="0" w:line="240" w:lineRule="auto"/>
    </w:pPr>
    <w:rPr>
      <w:sz w:val="20"/>
      <w:szCs w:val="20"/>
    </w:rPr>
  </w:style>
  <w:style w:type="character" w:customStyle="1" w:styleId="Char">
    <w:name w:val="نص حاشية سفلية Char"/>
    <w:basedOn w:val="a0"/>
    <w:link w:val="a3"/>
    <w:uiPriority w:val="99"/>
    <w:semiHidden/>
    <w:rsid w:val="007E0AB0"/>
    <w:rPr>
      <w:sz w:val="20"/>
      <w:szCs w:val="20"/>
    </w:rPr>
  </w:style>
  <w:style w:type="character" w:styleId="a4">
    <w:name w:val="footnote reference"/>
    <w:semiHidden/>
    <w:rsid w:val="007E0AB0"/>
    <w:rPr>
      <w:rFonts w:cs="Times New Roman"/>
      <w:vertAlign w:val="superscript"/>
    </w:rPr>
  </w:style>
  <w:style w:type="paragraph" w:customStyle="1" w:styleId="papersubtitle">
    <w:name w:val="paper subtitle"/>
    <w:rsid w:val="000F5310"/>
    <w:pPr>
      <w:suppressAutoHyphens/>
      <w:spacing w:after="120" w:line="240" w:lineRule="auto"/>
      <w:jc w:val="center"/>
    </w:pPr>
    <w:rPr>
      <w:rFonts w:ascii="Times New Roman" w:eastAsia="MS Mincho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0F53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AB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semiHidden/>
    <w:unhideWhenUsed/>
    <w:rsid w:val="007E0AB0"/>
    <w:pPr>
      <w:spacing w:after="0" w:line="240" w:lineRule="auto"/>
    </w:pPr>
    <w:rPr>
      <w:sz w:val="20"/>
      <w:szCs w:val="20"/>
    </w:rPr>
  </w:style>
  <w:style w:type="character" w:customStyle="1" w:styleId="Char">
    <w:name w:val="نص حاشية سفلية Char"/>
    <w:basedOn w:val="a0"/>
    <w:link w:val="a3"/>
    <w:uiPriority w:val="99"/>
    <w:semiHidden/>
    <w:rsid w:val="007E0AB0"/>
    <w:rPr>
      <w:sz w:val="20"/>
      <w:szCs w:val="20"/>
    </w:rPr>
  </w:style>
  <w:style w:type="character" w:styleId="a4">
    <w:name w:val="footnote reference"/>
    <w:semiHidden/>
    <w:rsid w:val="007E0AB0"/>
    <w:rPr>
      <w:rFonts w:cs="Times New Roman"/>
      <w:vertAlign w:val="superscript"/>
    </w:rPr>
  </w:style>
  <w:style w:type="paragraph" w:customStyle="1" w:styleId="papersubtitle">
    <w:name w:val="paper subtitle"/>
    <w:rsid w:val="000F5310"/>
    <w:pPr>
      <w:suppressAutoHyphens/>
      <w:spacing w:after="120" w:line="240" w:lineRule="auto"/>
      <w:jc w:val="center"/>
    </w:pPr>
    <w:rPr>
      <w:rFonts w:ascii="Times New Roman" w:eastAsia="MS Mincho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0F53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fy.salah@ims.mediu.edu.my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1215</Words>
  <Characters>6931</Characters>
  <Application>Microsoft Office Word</Application>
  <DocSecurity>0</DocSecurity>
  <Lines>57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dr.safy</dc:creator>
  <cp:lastModifiedBy>dr.safy</cp:lastModifiedBy>
  <cp:revision>2</cp:revision>
  <dcterms:created xsi:type="dcterms:W3CDTF">2013-05-17T21:26:00Z</dcterms:created>
  <dcterms:modified xsi:type="dcterms:W3CDTF">2013-05-31T15:03:00Z</dcterms:modified>
</cp:coreProperties>
</file>