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AC" w:rsidRPr="004635AC" w:rsidRDefault="004635AC" w:rsidP="004635AC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</w:rPr>
      </w:pP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 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</w:t>
      </w: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 دراسات </w:t>
      </w:r>
      <w:proofErr w:type="spellStart"/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>فى</w:t>
      </w:r>
      <w:proofErr w:type="spellEnd"/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>القسطلانى</w:t>
      </w:r>
      <w:proofErr w:type="spellEnd"/>
    </w:p>
    <w:p w:rsidR="004635AC" w:rsidRPr="004635AC" w:rsidRDefault="004635AC" w:rsidP="004635AC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  <w:t xml:space="preserve">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</w:t>
      </w: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  الأعلام (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3</w:t>
      </w:r>
      <w:r w:rsidRPr="004635AC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) </w:t>
      </w:r>
    </w:p>
    <w:p w:rsidR="004635AC" w:rsidRPr="004635AC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 w:hint="cs"/>
          <w:i/>
          <w:iCs/>
          <w:sz w:val="28"/>
          <w:szCs w:val="28"/>
          <w:rtl/>
          <w:lang w:bidi="ar-EG"/>
        </w:rPr>
      </w:pPr>
      <w:r w:rsidRPr="004635AC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 xml:space="preserve">                     </w:t>
      </w:r>
      <w:r w:rsidRPr="004635AC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</w:t>
      </w:r>
      <w:r w:rsidRPr="004635AC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 xml:space="preserve">  بحث </w:t>
      </w:r>
      <w:proofErr w:type="spellStart"/>
      <w:r w:rsidRPr="004635AC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>فى</w:t>
      </w:r>
      <w:proofErr w:type="spellEnd"/>
      <w:r w:rsidRPr="004635AC"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 xml:space="preserve"> التفسير وعلوم القرآن  </w:t>
      </w:r>
    </w:p>
    <w:p w:rsidR="004635AC" w:rsidRPr="004635AC" w:rsidRDefault="004635AC" w:rsidP="004635AC">
      <w:pPr>
        <w:tabs>
          <w:tab w:val="left" w:pos="4532"/>
          <w:tab w:val="center" w:pos="5576"/>
        </w:tabs>
        <w:suppressAutoHyphens/>
        <w:spacing w:after="120" w:line="240" w:lineRule="auto"/>
        <w:rPr>
          <w:rFonts w:ascii="Times New Roman" w:eastAsia="MS Mincho" w:hAnsi="Times New Roman" w:cs="Times New Roman"/>
          <w:sz w:val="32"/>
          <w:szCs w:val="32"/>
          <w:rtl/>
          <w:lang w:bidi="ar-EG"/>
        </w:rPr>
      </w:pPr>
      <w:r w:rsidRPr="004635AC">
        <w:rPr>
          <w:rFonts w:ascii="Times New Roman" w:eastAsia="MS Mincho" w:hAnsi="Times New Roman" w:cs="Times New Roman" w:hint="cs"/>
          <w:sz w:val="28"/>
          <w:szCs w:val="28"/>
          <w:rtl/>
        </w:rPr>
        <w:t xml:space="preserve"> </w:t>
      </w:r>
    </w:p>
    <w:p w:rsidR="004635AC" w:rsidRPr="004635AC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</w:pPr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د/ </w:t>
      </w:r>
      <w:proofErr w:type="spellStart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الصافى</w:t>
      </w:r>
      <w:proofErr w:type="spellEnd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صلاح </w:t>
      </w:r>
      <w:proofErr w:type="spellStart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الصافى</w:t>
      </w:r>
      <w:proofErr w:type="spellEnd"/>
    </w:p>
    <w:p w:rsidR="004635AC" w:rsidRPr="004635AC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قسم التفسير وعلوم القرآن</w:t>
      </w:r>
    </w:p>
    <w:p w:rsidR="004635AC" w:rsidRPr="004635AC" w:rsidRDefault="004635AC" w:rsidP="004635AC">
      <w:pPr>
        <w:tabs>
          <w:tab w:val="left" w:pos="2179"/>
          <w:tab w:val="left" w:pos="3802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proofErr w:type="gramStart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كلية</w:t>
      </w:r>
      <w:proofErr w:type="gramEnd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العلوم الإسلامية – جامعة المدينة العالمية</w:t>
      </w:r>
    </w:p>
    <w:p w:rsidR="004635AC" w:rsidRPr="004635AC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</w:pPr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شاه </w:t>
      </w:r>
      <w:proofErr w:type="gramStart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علم</w:t>
      </w:r>
      <w:proofErr w:type="gramEnd"/>
      <w:r w:rsidRPr="004635AC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– ماليزيا</w:t>
      </w:r>
    </w:p>
    <w:p w:rsidR="004635AC" w:rsidRPr="004635AC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</w:pPr>
      <w:hyperlink r:id="rId8" w:history="1">
        <w:r w:rsidRPr="00C22CB0">
          <w:rPr>
            <w:rFonts w:ascii="Times New Roman" w:eastAsia="MS Mincho" w:hAnsi="Times New Roman" w:cs="Times New Roman"/>
            <w:i/>
            <w:iCs/>
            <w:sz w:val="20"/>
            <w:szCs w:val="20"/>
          </w:rPr>
          <w:t>Safy.salah@ims.mediu.edu.my</w:t>
        </w:r>
      </w:hyperlink>
    </w:p>
    <w:p w:rsidR="007E0AB0" w:rsidRPr="00C22CB0" w:rsidRDefault="004635AC" w:rsidP="004635AC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C22CB0">
        <w:rPr>
          <w:rFonts w:ascii="Times New Roman" w:eastAsia="MS Mincho" w:hAnsi="Times New Roman" w:cs="Times New Roman"/>
          <w:i/>
          <w:iCs/>
          <w:sz w:val="20"/>
          <w:szCs w:val="20"/>
        </w:rPr>
        <w:t>dr.safy.salah@mediu.ws</w:t>
      </w:r>
    </w:p>
    <w:p w:rsidR="007E0AB0" w:rsidRPr="00C22CB0" w:rsidRDefault="007E0AB0" w:rsidP="004635AC">
      <w:pPr>
        <w:suppressAutoHyphens/>
        <w:spacing w:after="0" w:line="240" w:lineRule="auto"/>
        <w:jc w:val="center"/>
        <w:rPr>
          <w:rFonts w:ascii="Times New Roman" w:eastAsia="SimSun" w:hAnsi="Times New Roman" w:cs="Times New Roman" w:hint="cs"/>
          <w:sz w:val="14"/>
          <w:szCs w:val="14"/>
          <w:rtl/>
          <w:lang w:eastAsia="zh-CN"/>
        </w:rPr>
      </w:pPr>
    </w:p>
    <w:p w:rsidR="004635AC" w:rsidRPr="00C22CB0" w:rsidRDefault="004635AC" w:rsidP="004635A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4"/>
          <w:szCs w:val="14"/>
          <w:lang w:eastAsia="zh-CN"/>
        </w:rPr>
        <w:sectPr w:rsidR="004635AC" w:rsidRPr="00C22CB0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4635AC" w:rsidRPr="004635AC" w:rsidRDefault="007E0AB0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هذا البحث</w:t>
      </w:r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يبحث في التعريف بالأعلام </w:t>
      </w:r>
      <w:proofErr w:type="spellStart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التى</w:t>
      </w:r>
      <w:proofErr w:type="spellEnd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ذكرها الإمام </w:t>
      </w:r>
      <w:proofErr w:type="spellStart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="004635AC"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لطائف الإشارات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4635AC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 xml:space="preserve">الكلمات المفتاحية </w:t>
      </w:r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المتوكل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بكار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العطار </w:t>
      </w:r>
      <w:r w:rsidR="001B1047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="001B1047" w:rsidRPr="001B104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="001B1047" w:rsidRPr="001B1047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1B1047" w:rsidRPr="001B104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1B1047" w:rsidRPr="001B104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العمانى</w:t>
      </w:r>
      <w:proofErr w:type="spellEnd"/>
      <w:r w:rsidR="001B1047" w:rsidRPr="001B104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</w:t>
      </w:r>
      <w:proofErr w:type="spellStart"/>
      <w:r w:rsidR="001B1047" w:rsidRPr="001B104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المرادى</w:t>
      </w:r>
      <w:proofErr w:type="spellEnd"/>
    </w:p>
    <w:p w:rsidR="004635AC" w:rsidRPr="004635AC" w:rsidRDefault="004635AC" w:rsidP="004635AC">
      <w:pPr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contextualSpacing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4635AC">
        <w:rPr>
          <w:rFonts w:ascii="Times New Roman" w:eastAsia="SimSun" w:hAnsi="Times New Roman" w:cs="Times New Roman"/>
          <w:b/>
          <w:bCs/>
          <w:i/>
          <w:iCs/>
          <w:smallCaps/>
          <w:sz w:val="20"/>
          <w:szCs w:val="20"/>
          <w:rtl/>
        </w:rPr>
        <w:t>المقدمة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إن لكل علم رجاله ,, ولكل فن أعلامه , ولا ريب </w:t>
      </w:r>
      <w:proofErr w:type="spellStart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أن الإمام </w:t>
      </w:r>
      <w:proofErr w:type="spellStart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رحمه الله قد توسع </w:t>
      </w:r>
      <w:proofErr w:type="spellStart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لطائف الإشارات  وذكر فيه  جملة من العلوم </w:t>
      </w:r>
      <w:proofErr w:type="spellStart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التى</w:t>
      </w:r>
      <w:proofErr w:type="spellEnd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تخص القرآن واللغة وجملة من الأعلام </w:t>
      </w:r>
      <w:proofErr w:type="spellStart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مختلف الفنون, من القراء والمفسرين واللغويين وغيرهم , فأردت هنا أن أترجم لهؤلاء الأعلام تتميما للفائدة.</w:t>
      </w:r>
    </w:p>
    <w:p w:rsidR="004635AC" w:rsidRDefault="004635AC" w:rsidP="004635AC">
      <w:pPr>
        <w:numPr>
          <w:ilvl w:val="0"/>
          <w:numId w:val="2"/>
        </w:num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 w:hint="cs"/>
          <w:b/>
          <w:bCs/>
          <w:sz w:val="20"/>
          <w:szCs w:val="20"/>
          <w:lang w:eastAsia="zh-CN"/>
        </w:rPr>
      </w:pPr>
      <w:proofErr w:type="gramStart"/>
      <w:r w:rsidRPr="004635AC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>موضوع</w:t>
      </w:r>
      <w:proofErr w:type="gramEnd"/>
      <w:r w:rsidRPr="004635AC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  <w:t xml:space="preserve"> المقالة</w:t>
      </w:r>
    </w:p>
    <w:p w:rsidR="004635AC" w:rsidRPr="004635AC" w:rsidRDefault="004635AC" w:rsidP="004635AC">
      <w:pPr>
        <w:suppressAutoHyphens/>
        <w:spacing w:line="240" w:lineRule="auto"/>
        <w:ind w:left="936"/>
        <w:contextualSpacing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</w:p>
    <w:p w:rsidR="004635AC" w:rsidRPr="004635AC" w:rsidRDefault="007E0AB0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="004635AC"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إسماعيل بن مسلم </w:t>
      </w:r>
      <w:proofErr w:type="spellStart"/>
      <w:r w:rsidR="004635AC"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المكى</w:t>
      </w:r>
      <w:proofErr w:type="spellEnd"/>
      <w:r w:rsidR="004635AC"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إسماعيل بن مسلم أبو إسحاق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المخزومى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المعروف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بالمكى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قرأ على ابن كثير وروى أيضاً عن محمد بن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السميفع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اليمانى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اختياره ، روى القراءة عنه عبد الوهاب بن عطاء ومحبوب بن الحسن ، توفى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حدود الستين ومائة (160) هـ.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(غاية النهاية 1 / 169 ) .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امرؤ القيس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امرؤ 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القيس بن حُجْر بن الحارث الكندي ، من بني آكل المُرار ، أشهر شعراء العرب على الإطلاق ، يماني الأصل ، مولده بنجد ، اشتهر بلقبه ، وقيل إن اسمه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حُنْدُج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أو مليكة أو عدي ، أخذ الشعر عن خاله المهلهل ، وقاله وهو صغير ، توفى نحو سنة ثمانين (80) ق هـ . ( 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طبقات فحول الشعراء 51 , والأعلام 2 / 11 , 12 )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أيوب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المتوكل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أيوب 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بن المتوكل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البصرى ، إمام ، ثقة ، ضابط ، له اختيار تبع فيه الأثر ، قرأ على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وحسين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ويعقوب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وقرأ عليه جماعة أجلهم محمد بن يحيى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القطعى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توفى سنة مائتين (200) هـ . ( ينظر : معرفة القراء 1 / 316 ، 317 ، وغاية النهاية 1 / 172 ، 173 )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بكار بن أحمد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بكار بن أحمد بن بكار بن بنان أبو عيسى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ولد سنة خمس وسبعين ومائتين (275) هـ، قرأ على الحسن بن الحسين الصواف وابن مجاهد وغيرهما ، قرأ عليه أبو جعفر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الكتانى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وعلى بن محمد العلاف وأبو الحسن الحمامى وغيرهم ، توفى سنة ثلاث وخمسين وثلاثمائة (353) هـ .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( 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2 / 596 ، وغاية النهاية 1 / 177 )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جابر بن 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الله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جابر بن عبد الله بن عمرو بن حرام الخزرجي الأنصاري السلمي ، صحابي ، من المكثرين في الرواية عن النبي </w:t>
      </w:r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وروى عنه جماعة من الصحابة ، له ولأبيه صحبة ، غزا تسع عشرة غزوة ، وكانت له في أواخر أيامه حلقة في المسجد النبوي يؤخذ عنه العلم ، توفى سنة ثمان وسبعين (78)هـ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الإصابة 1 / 213 ، والأعلام 2 / 104 )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جندب بن جنادة = أبو ذر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جندب 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بن جنادة بن سفيان بن عبيد ، من بني غفار ، أبو ذر ، صحابي ، من كبارهم ، قديم الإسلام ، يقال : أسلم بعد أربعة وكان خامساً ، يضرب به المثل في الصدق ، وهو أول من حيا رسول الله </w:t>
      </w:r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بتحية الإسلام ، روى له البخاري ومسلم 281 حديثاً ، توفى بالزبدة سنة إحدى وثلاثين ، وقيل سنة اثنين وثلاثين وعليه الأكثر . ( ينظر : الإصابة 4 / 63 , 64 ، والأعلام 2 / 140 ) .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أبى الحسن البصرى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أبى الحسن أبو سعيد البصرى ، إمام زمانه علماً وعملاً ، قرأ على حطان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الرقاشى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عن أبى موسى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الأشعرى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وعلى أبى العالية عن أبىّ وزيد وعمر أخذ عنه القراءة أبو عمرو بن العلاء وسلام القارئ وغيرهما ، توفى سنة عشر ومائة (110) هـ . ( ينظر : معرفة القراء 1 / 168 ، 169 ، وغاية النهاية 1 / 235 ، وشذرات الذهب 1 / 136 - 138 )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أحمد بن الحسن = أبو العلاء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الهمذانى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العطار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أحمد بن الحسن بن أحمد بن محمد بن سهل أبو العلاء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الهمذانى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العطار ، شيخ همذان وإمام العراقيين ، ومؤلف كتاب الغاية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، قرأ على أبى غالب أحمد بن عبيد الله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وأبى على الحسن بن أحمد الحداد وغيرهما ، قرأ عليه الشيخ أبو أحمد عبد الوهاب بن على بن سكينه وعمر بن الحسين الوشاء وغيرهما ، توفى سنة تسع وستين وخمسمائة (569) هـ . [ ينظر معرفة القراء 3/1039 </w:t>
      </w:r>
      <w:r w:rsidRPr="004635AC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1042 ، وغاية النهاية 1 / 206 ، 207 ]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أحمد بن عبد الغفار =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الحسن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أحمد بن عبد الغفار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الأصل أبو على ، أحد أئمة العربية ، ولد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فسا ( من أعمال فارس ) وانتقل إلى بغداد ، ثم حلب ثم عاد إلى فارس فبغداد حتى توفى ، من مصنفاته " التذكرة " و" الإيضاح " توفى سنة سبع وسبعين وثلاثمائة (377) هـ . ( ينظر : الأعلام 2 / 179، 180 ، ومعجم الأدباء 1 / 8 )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الحسن بن الحباب بن مخلد = ابن الحباب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الحسن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الحباب بن مخلد ، أبو على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الدقاق المقرئ ، من حذاق أهل الأداء ، روى القراءة عرضاً عن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البزى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وعلى محمد بن غالب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الأنماطى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أخذ عنه ابن مجاهد وأبو بكر النقاش وآخرون وكان من الثقات ، توفى سنة إحدى وثلاثمائة (301)هـ . ( ينظر : معرفة القراء 1 / 455 ، وغاية النهاية 1 / 209 ).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الحسين بن على = الصواف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 الحسن بن الحسين ب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 على ب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ن عبد الله بن جعفر أبو على الصواف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شيخ متصدر ماهر عارف بالفن ، قرأ على أبى حمدون الطيب بن إسماعيل وغيره ، روى الحروف عن القاسم بن يزيد الوزان وصح أنه عرض عليه ، قرأ عليه بكار بن أحمد وعبد الواحد بن أبى هاشم وغيرهما ، توفى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رمضان سنة عشر وثلاثمائة (310) هـ. [ينظر: معرفة القراء 1/474 ،475 ، وغاية النهاية 1/210 ، 211] .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خلف بن عبد الله = ابن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بليمة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4635AC" w:rsidRPr="004635AC" w:rsidRDefault="004635AC" w:rsidP="004635A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خلف بن عبد الله بن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بليمة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أبو على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القيروانى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تلا على أبى بكر القصرى وعثمان بن بلال ، وقرأ عليه أبو الحسن بن عظيمة ويحيى بن سعدون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القرطبى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له كتاب " تلخيص العبارات </w:t>
      </w:r>
      <w:proofErr w:type="spell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" ، توفى سنة أربع عشرة وخمسمائة (514) هـ. </w:t>
      </w:r>
    </w:p>
    <w:p w:rsidR="00C22CB0" w:rsidRDefault="004635AC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4635A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2 / 902 ، 903 ، وغاية النهاية 1/211 )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سعيد بن جعفر =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المطوعى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سعيد بن جعفر بن الفضل بن شاذان ، أبو العباس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المطوعى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إمام عارف ثقة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القراءة ، ولد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حدود سنة سبعين ومائة (270) هـ ، قرأ على إدريس ابن عبد الكريم الحداد والحسين بن على الأزرق الجمال ومحمد بن القاسم بن يزيد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الإسكندرانى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قرأ عليه أبو الفضل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الخزاعى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محمد بن صافى ومحمد بن الحسين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الكارزينى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توفى سنة إحدى وسبعين وثلاثمائة (371) هـ وقد جاوز المائة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2 / 613- 615 ، وغاية النهاية 1 / 213 </w:t>
      </w: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215 )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العباس  بن أبى مهران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العباس بن أبى مهران ، الإمام أبو على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الرازى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الجمال المقرئ ، شيخ عارف حاذق ثقة ، إليه المنتهى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الضبط والتحرير ، قرأ على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الأحمدين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قالون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والحلوانى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ومحمد بن عيسى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الأصبهانى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قرأ عليه أبو الحسن بن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شنبوذ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وابن مجاهد والنقاش وغيرهم ، توفى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رمضان سنة تسع وثمانين ومائتين (289)هـ ( ينظر : معرفة القراء 1 / 463  - 464 ، وغاية النهاية 1 / 216 )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على بن إبراهيم = الأهوازى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على بن إبراهيم بن يَزْداد بن هرمز أبو على الأهوازى ، ولد سنة اثنتين وستين وثلاثمائة (362) هـ ، قرأ على إبراهيم بن أحمد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الطبرى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محمد بن سديد المؤدب وغيرهما ، قرأ عليه الحسن قاسم غلام الهراس وأبو القاسم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الهذلى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له "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الاتضاح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" و" الوجيز " ، و" الموجز "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، توفى سنة ست وأربعين وأربعمائة (446) هـ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ينظر: معرفة القراء 2/766 </w:t>
      </w: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gram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771 ،</w:t>
      </w:r>
      <w:proofErr w:type="gram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وغاية النهاية 1 / 220 </w:t>
      </w: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222 ) .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على بن سعيد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العمانى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22CB0" w:rsidRP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على بن سعيد أبو محمد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العمانى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صاحب الوقف والابتداء ، إمام فاضل محقق ، له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الوقوف كتابان منهما " المرشد " أحسن فيه وأفاد وقد قسم الوقف فيه إلى التام ثم الحسن ثم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الكافى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ثم الصالح ثم المفهوم ، قال ابن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: ولا أعلم على من قرأ ولا من قرأ عليه غير أن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على بن عبد الله = أبو على العطار </w:t>
      </w:r>
    </w:p>
    <w:p w:rsidR="00C22CB0" w:rsidRP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الحسن بن قاسم بن عبد الله = المرادي</w:t>
      </w:r>
    </w:p>
    <w:p w:rsidR="00C22CB0" w:rsidRP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قاسم بن عبد الله بن على أبو محمد ، بدر الدين ، المعروف بابن أم قاسم المرادي المصري النحوي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اللغوى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قرأ على العلامة مجد الدين إسماعيل بن الشيخ تاج </w:t>
      </w: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الدين محمد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البناكتى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صنف وتفنن وأفاد وأجاد ، من مؤلفاته شرح التسهيل والألفية وشرح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الشاطبية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توفى سنة تسع وأربعين وسبعمائة (749) هـ . </w:t>
      </w:r>
    </w:p>
    <w:p w:rsidR="00C22CB0" w:rsidRP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3 / 1532 ، وغاية النهاية 1 / 227 ، 228 ) </w:t>
      </w:r>
    </w:p>
    <w:p w:rsidR="00C22CB0" w:rsidRP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الحسن بن محمد بن إبراهيم = أبو على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المالكى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22CB0" w:rsidRDefault="00C22CB0" w:rsidP="00C22CB0">
      <w:pPr>
        <w:spacing w:line="240" w:lineRule="auto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الحسن بن محمد بن إبراهيم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المالكى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أبو على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مؤلف الروضة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الإحدى عشرة ، قرأ على أحمد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الفرضى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عبد الله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السوسنجردى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قرأ عليه أبو القاسم </w:t>
      </w:r>
      <w:proofErr w:type="spellStart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الهذلى</w:t>
      </w:r>
      <w:proofErr w:type="spellEnd"/>
      <w:r w:rsidRPr="00C22C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وإبراهيم بن إسماعيل بن غالب وغيرهما ، توفى سنة ثمان وثلاثين وأربعمائة (438) هـ . ( ينظر: معرفة القراء 2/755، 756 وغاية النهاية 1 / 230 ، وشذرات الذهب 3 / 261 ) . </w:t>
      </w:r>
    </w:p>
    <w:p w:rsid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C22CB0" w:rsidRDefault="00C22CB0" w:rsidP="00C22CB0">
      <w:pPr>
        <w:pBdr>
          <w:bottom w:val="single" w:sz="4" w:space="1" w:color="auto"/>
        </w:pBd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المراجع </w:t>
      </w:r>
      <w:proofErr w:type="gram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والمصادر</w:t>
      </w:r>
      <w:proofErr w:type="gramEnd"/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خير الدين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الزركلى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الأعلام , دار العلم للملايين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2</w:t>
      </w: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- عبد الحى بن أحمد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الحنبلى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المعروف ب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ابن العماد ’ شذرات الذهب – بيرو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3- محمد بن أحمد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الذهبى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معرفة القراء الكبار على الطبقات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والأعصار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تحقيق د/ طيار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آلتى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قولاج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_ استانبول – تركيا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4- محمد بن يوسف بن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الجزرى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غاية النهاية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فى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طبقات القراء , عنى بنشره ج </w:t>
      </w:r>
      <w:proofErr w:type="spellStart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برجستراسر</w:t>
      </w:r>
      <w:proofErr w:type="spellEnd"/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 xml:space="preserve"> , مكتبة ابن تيمية – القاهرة </w:t>
      </w: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bookmarkStart w:id="0" w:name="_GoBack"/>
      <w:bookmarkEnd w:id="0"/>
    </w:p>
    <w:p w:rsidR="00C22CB0" w:rsidRPr="00C22CB0" w:rsidRDefault="00C22CB0" w:rsidP="00C22CB0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C22C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br w:type="page"/>
      </w:r>
    </w:p>
    <w:p w:rsidR="007E0AB0" w:rsidRPr="00754D36" w:rsidRDefault="004635AC" w:rsidP="004635AC">
      <w:pPr>
        <w:suppressAutoHyphens/>
        <w:spacing w:line="240" w:lineRule="auto"/>
        <w:ind w:firstLine="170"/>
        <w:jc w:val="both"/>
        <w:rPr>
          <w:lang w:bidi="ar-EG"/>
        </w:rPr>
      </w:pPr>
      <w:r w:rsidRPr="00754D36">
        <w:rPr>
          <w:lang w:bidi="ar-EG"/>
        </w:rPr>
        <w:lastRenderedPageBreak/>
        <w:t xml:space="preserve"> </w:t>
      </w:r>
    </w:p>
    <w:p w:rsidR="00AA0FE1" w:rsidRPr="007E0AB0" w:rsidRDefault="00AA0FE1"/>
    <w:sectPr w:rsidR="00AA0FE1" w:rsidRPr="007E0AB0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51" w:rsidRDefault="00CA1451" w:rsidP="007E0AB0">
      <w:pPr>
        <w:spacing w:after="0" w:line="240" w:lineRule="auto"/>
      </w:pPr>
      <w:r>
        <w:separator/>
      </w:r>
    </w:p>
  </w:endnote>
  <w:endnote w:type="continuationSeparator" w:id="0">
    <w:p w:rsidR="00CA1451" w:rsidRDefault="00CA1451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51" w:rsidRDefault="00CA1451" w:rsidP="007E0AB0">
      <w:pPr>
        <w:spacing w:after="0" w:line="240" w:lineRule="auto"/>
      </w:pPr>
      <w:r>
        <w:separator/>
      </w:r>
    </w:p>
  </w:footnote>
  <w:footnote w:type="continuationSeparator" w:id="0">
    <w:p w:rsidR="00CA1451" w:rsidRDefault="00CA1451" w:rsidP="007E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7CA4"/>
    <w:multiLevelType w:val="hybridMultilevel"/>
    <w:tmpl w:val="04B6278C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1B1047"/>
    <w:rsid w:val="00321E22"/>
    <w:rsid w:val="004635AC"/>
    <w:rsid w:val="007E0AB0"/>
    <w:rsid w:val="00AA0FE1"/>
    <w:rsid w:val="00BD637D"/>
    <w:rsid w:val="00C22CB0"/>
    <w:rsid w:val="00C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2013-05-31T14:44:00Z</dcterms:modified>
</cp:coreProperties>
</file>